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E9E" w:rsidRDefault="006E21DD">
      <w:pPr>
        <w:pStyle w:val="LO-normal"/>
        <w:jc w:val="center"/>
      </w:pPr>
      <w:r>
        <w:rPr>
          <w:b/>
        </w:rPr>
        <w:t xml:space="preserve">GRUPO DE TRABALHO - </w:t>
      </w:r>
      <w:proofErr w:type="gramStart"/>
      <w:r>
        <w:rPr>
          <w:b/>
        </w:rPr>
        <w:t>CASO  EVANDRO</w:t>
      </w:r>
      <w:proofErr w:type="gramEnd"/>
      <w:r>
        <w:rPr>
          <w:b/>
        </w:rPr>
        <w:t>: APONTAMENTOS PARA O FUTURO</w:t>
      </w:r>
    </w:p>
    <w:p w:rsidR="009C5E9E" w:rsidRDefault="006E21DD">
      <w:pPr>
        <w:pStyle w:val="LO-normal"/>
        <w:jc w:val="center"/>
        <w:rPr>
          <w:b/>
        </w:rPr>
      </w:pPr>
      <w:r>
        <w:rPr>
          <w:b/>
        </w:rPr>
        <w:t>PROPOSTA DE PLANO DE TRABALHO</w:t>
      </w:r>
    </w:p>
    <w:p w:rsidR="009C5E9E" w:rsidRDefault="009C5E9E">
      <w:pPr>
        <w:pStyle w:val="LO-normal"/>
        <w:jc w:val="center"/>
        <w:rPr>
          <w:b/>
        </w:rPr>
      </w:pPr>
    </w:p>
    <w:p w:rsidR="009C5E9E" w:rsidRDefault="006E21DD">
      <w:pPr>
        <w:pStyle w:val="LO-normal"/>
        <w:rPr>
          <w:b/>
        </w:rPr>
      </w:pPr>
      <w:r>
        <w:rPr>
          <w:b/>
        </w:rPr>
        <w:t>1 APRESENTAÇÃO</w:t>
      </w:r>
    </w:p>
    <w:p w:rsidR="009C5E9E" w:rsidRDefault="009C5E9E">
      <w:pPr>
        <w:pStyle w:val="LO-normal"/>
        <w:rPr>
          <w:b/>
        </w:rPr>
      </w:pPr>
    </w:p>
    <w:p w:rsidR="009C5E9E" w:rsidRDefault="006E21DD">
      <w:pPr>
        <w:pStyle w:val="LO-normal"/>
        <w:jc w:val="both"/>
      </w:pPr>
      <w:r>
        <w:t>A Secretaria de Estado da Justiça, Família e Trabalho (SEJUF) tem suas competências definidas pela Lei Estadual n° 19.848/2019, a qual, em seu art. 28, determina, dentre outras:</w:t>
      </w:r>
    </w:p>
    <w:p w:rsidR="009C5E9E" w:rsidRDefault="006E21DD">
      <w:pPr>
        <w:pStyle w:val="LO-normal"/>
        <w:numPr>
          <w:ilvl w:val="0"/>
          <w:numId w:val="2"/>
        </w:numPr>
        <w:jc w:val="both"/>
      </w:pPr>
      <w:r>
        <w:t>a formulação e implementação de diretrizes e políticas que garantam os direito</w:t>
      </w:r>
      <w:r>
        <w:t>s fundamentais, a justiça, a cidadania, a dignidade da pessoa humana e os valores sociais do trabalho e assistência social, visando à superação da condição de vulnerabilidade social e à melhoria da qualidade de vida, bem como a coordenação de sua execução,</w:t>
      </w:r>
      <w:r>
        <w:t xml:space="preserve"> nas áreas de preservação dos direitos humanos e sociais e garantia das liberdades individuais e coletivas;</w:t>
      </w:r>
    </w:p>
    <w:p w:rsidR="009C5E9E" w:rsidRDefault="006E21DD">
      <w:pPr>
        <w:pStyle w:val="LO-normal"/>
        <w:numPr>
          <w:ilvl w:val="0"/>
          <w:numId w:val="2"/>
        </w:numPr>
        <w:jc w:val="both"/>
      </w:pPr>
      <w:r>
        <w:t xml:space="preserve"> a defesa dos direitos da mulher, da pessoa idosa, da pessoa com deficiência, da população LGBTI+, de migrantes, refugiados e apátridas, e de outras</w:t>
      </w:r>
      <w:r>
        <w:t xml:space="preserve"> minorias;</w:t>
      </w:r>
    </w:p>
    <w:p w:rsidR="009C5E9E" w:rsidRDefault="006E21DD">
      <w:pPr>
        <w:pStyle w:val="LO-normal"/>
        <w:numPr>
          <w:ilvl w:val="0"/>
          <w:numId w:val="2"/>
        </w:numPr>
        <w:jc w:val="both"/>
      </w:pPr>
      <w:r>
        <w:t>a organização, planejamento, execução e gerenciamento da Política Estadual de Defesa dos Direitos da Criança e do Adolescente;</w:t>
      </w:r>
    </w:p>
    <w:p w:rsidR="009C5E9E" w:rsidRDefault="006E21DD">
      <w:pPr>
        <w:pStyle w:val="LO-normal"/>
        <w:numPr>
          <w:ilvl w:val="0"/>
          <w:numId w:val="2"/>
        </w:numPr>
        <w:jc w:val="both"/>
      </w:pPr>
      <w:r>
        <w:t>a realização de ações especializadas em cooperação com a Secretaria de Estado da Segurança Pública - SESP e a Controla</w:t>
      </w:r>
      <w:r>
        <w:t>doria-Geral do Estado, colaborando para a implementação de políticas públicas estabelecidas para as respectivas Pastas.</w:t>
      </w:r>
    </w:p>
    <w:p w:rsidR="009C5E9E" w:rsidRDefault="009C5E9E">
      <w:pPr>
        <w:pStyle w:val="LO-normal"/>
        <w:jc w:val="both"/>
      </w:pPr>
    </w:p>
    <w:p w:rsidR="009C5E9E" w:rsidRDefault="006E21DD">
      <w:pPr>
        <w:pStyle w:val="LO-normal"/>
        <w:jc w:val="both"/>
      </w:pPr>
      <w:r>
        <w:t xml:space="preserve">Para atendimento </w:t>
      </w:r>
      <w:proofErr w:type="gramStart"/>
      <w:r>
        <w:t>a</w:t>
      </w:r>
      <w:proofErr w:type="gramEnd"/>
      <w:r>
        <w:t xml:space="preserve"> essa legislação, a SEJUF organiza-se em Departamentos para execução de ações, programas, projetos e políticas públic</w:t>
      </w:r>
      <w:r>
        <w:t>as. Assim sendo, no âmbito do Departamento de Promoção e Defesa dos Direitos Fundamentais e Cidadania (DEDIF) encontra-se o Programa Criança e Adolescente Protegidos no Estado do Paraná, de sua coordenação por disposição da Lei Estadual n° 19.634/2018, atu</w:t>
      </w:r>
      <w:r>
        <w:t>ando na garantia de proteção integral a crianças e adolescentes por meio do cadastro biométrico e emissão de documento de identidade, que assegura cidadania e fortalece a rede de enfrentamento ao desaparecimento de crianças e adolescentes.</w:t>
      </w:r>
    </w:p>
    <w:p w:rsidR="009C5E9E" w:rsidRDefault="009C5E9E">
      <w:pPr>
        <w:pStyle w:val="LO-normal"/>
        <w:jc w:val="both"/>
      </w:pPr>
    </w:p>
    <w:p w:rsidR="009C5E9E" w:rsidRDefault="006E21DD">
      <w:pPr>
        <w:pStyle w:val="LO-normal"/>
        <w:jc w:val="both"/>
      </w:pPr>
      <w:r>
        <w:t xml:space="preserve">O DEDIF possui </w:t>
      </w:r>
      <w:r>
        <w:t>ainda em sua estrutura a política para igualdade étnico-racial, que, afirmando seu compromisso com a temática, proporcionou a adesão do Estado do Paraná ao Sistema Nacional de Promoção da Igualdade Racial, instituído pela Lei nº 12.288/2010 e regulamentado</w:t>
      </w:r>
      <w:r>
        <w:t xml:space="preserve"> pelo Decreto nº 8.136/2013. Atendendo às finalidades do Sistema, de implementação de políticas e serviços destinados a superar as desigualdades raciais existentes no País, o DEDIF executa, dentre outras ações, o Programa SOS Racismo, instituído pela Lei E</w:t>
      </w:r>
      <w:r>
        <w:t>stadual nº 14.938/2005 e regulamentado pelo Decreto Estadual nº 5.115/2016, para recebimento de denúncias de discriminação em razão de origem, raça, cor, etnia ou religião.</w:t>
      </w:r>
    </w:p>
    <w:p w:rsidR="009C5E9E" w:rsidRDefault="009C5E9E">
      <w:pPr>
        <w:pStyle w:val="LO-normal"/>
        <w:jc w:val="both"/>
      </w:pPr>
    </w:p>
    <w:p w:rsidR="009C5E9E" w:rsidRDefault="006E21DD">
      <w:pPr>
        <w:pStyle w:val="LO-normal"/>
        <w:jc w:val="both"/>
      </w:pPr>
      <w:r>
        <w:t xml:space="preserve">Por fim, o Departamento vem buscando a implementação de medidas para adequação do </w:t>
      </w:r>
      <w:r>
        <w:t xml:space="preserve">Estado do Paraná ao Sistema Nacional de Prevenção e Combate à Tortura (SNPCT), instituído pela Lei n° 12.847/2013, o qual promove a criação e fomento a Comitês e Mecanismos de Prevenção e Combate à Tortura nas unidades federativas, pela </w:t>
      </w:r>
      <w:r>
        <w:lastRenderedPageBreak/>
        <w:t>reformulação do Com</w:t>
      </w:r>
      <w:r>
        <w:t xml:space="preserve">itê Gestor Estadual para efetivar a implementação e o monitoramento da execução do Plano de Ações Integradas para a Prevenção e o Combate à Tortura no âmbito do Estado do Paraná, criado pelo Decreto Estadual n° 6.331/2010 junto à SEJUF. </w:t>
      </w:r>
    </w:p>
    <w:p w:rsidR="009C5E9E" w:rsidRDefault="009C5E9E">
      <w:pPr>
        <w:pStyle w:val="LO-normal"/>
        <w:jc w:val="both"/>
      </w:pPr>
    </w:p>
    <w:p w:rsidR="009C5E9E" w:rsidRDefault="006E21DD">
      <w:pPr>
        <w:pStyle w:val="LO-normal"/>
        <w:jc w:val="both"/>
      </w:pPr>
      <w:r>
        <w:t>Por sua vez, dada</w:t>
      </w:r>
      <w:r>
        <w:t xml:space="preserve"> a relevância, a atenção a crianças e adolescentes encontra-se também em desenvolvimento por Departamento específico, o Departamento de Políticas para Crianças e Adolescentes (DPCA), que desenvolve ações para garantia de direitos deste público junto à resp</w:t>
      </w:r>
      <w:r>
        <w:t xml:space="preserve">ectiva rede de proteção. </w:t>
      </w:r>
    </w:p>
    <w:p w:rsidR="009C5E9E" w:rsidRDefault="009C5E9E">
      <w:pPr>
        <w:pStyle w:val="LO-normal"/>
        <w:jc w:val="both"/>
      </w:pPr>
    </w:p>
    <w:p w:rsidR="009C5E9E" w:rsidRDefault="006E21DD">
      <w:pPr>
        <w:pStyle w:val="LO-normal"/>
        <w:jc w:val="both"/>
      </w:pPr>
      <w:r>
        <w:t>Tem-se, ademais, a Força Tarefa Infância Segura (FORTIS) desenvolvida pelo Departamento da Justiça (DEJU) e que tem como objetivo estabelecer no Estado do Paraná a integração das políticas públicas dos sistemas de justiça, segura</w:t>
      </w:r>
      <w:r>
        <w:t>nça pública, assistência social, educação e saúde, mediante ações articuladas, coordenadas e efetivas para a prevenção, bem como para o acolhimento e o atendimento integral às crianças e aos adolescentes vítimas de crimes e violências.</w:t>
      </w:r>
    </w:p>
    <w:p w:rsidR="009C5E9E" w:rsidRDefault="009C5E9E">
      <w:pPr>
        <w:pStyle w:val="LO-normal"/>
        <w:jc w:val="both"/>
      </w:pPr>
    </w:p>
    <w:p w:rsidR="009C5E9E" w:rsidRDefault="006E21DD">
      <w:pPr>
        <w:pStyle w:val="LO-normal"/>
        <w:jc w:val="both"/>
      </w:pPr>
      <w:r>
        <w:t>O DEJU possui també</w:t>
      </w:r>
      <w:r>
        <w:t>m o Núcleo de Enfrentamento ao Tráfico de Pessoas (NETP), criado pelo Decreto Estadual n° 7.353/2013, que tem por principal função a prevenção, articulação e planejamento das ações para o enfrentamento ao tráfico de pessoas na esfera Estadual.</w:t>
      </w:r>
    </w:p>
    <w:p w:rsidR="009C5E9E" w:rsidRDefault="009C5E9E">
      <w:pPr>
        <w:pStyle w:val="LO-normal"/>
        <w:jc w:val="both"/>
      </w:pPr>
    </w:p>
    <w:p w:rsidR="009C5E9E" w:rsidRDefault="006E21DD">
      <w:pPr>
        <w:pStyle w:val="LO-normal"/>
        <w:jc w:val="both"/>
      </w:pPr>
      <w:r>
        <w:t>Ainda, aten</w:t>
      </w:r>
      <w:r>
        <w:t xml:space="preserve">dendo à competência de articulação entre Estado e sociedade civil de forma a garantir à sociedade </w:t>
      </w:r>
      <w:proofErr w:type="gramStart"/>
      <w:r>
        <w:t>a</w:t>
      </w:r>
      <w:proofErr w:type="gramEnd"/>
      <w:r>
        <w:t xml:space="preserve"> efetiva participação na elaboração e no monitoramento das políticas públicas em Direitos Humanos, também previsto na Lei Estadual n° 19.848/2019, a SEJUF po</w:t>
      </w:r>
      <w:r>
        <w:t>ssui diversos Conselhos Estaduais em sua estrutura, dentre os quais destacam-se:</w:t>
      </w:r>
    </w:p>
    <w:p w:rsidR="009C5E9E" w:rsidRDefault="006E21DD">
      <w:pPr>
        <w:pStyle w:val="LO-normal"/>
        <w:numPr>
          <w:ilvl w:val="0"/>
          <w:numId w:val="1"/>
        </w:numPr>
        <w:jc w:val="both"/>
      </w:pPr>
      <w:r>
        <w:t xml:space="preserve">Conselho Estadual dos Direitos da Criança e </w:t>
      </w:r>
      <w:proofErr w:type="gramStart"/>
      <w:r>
        <w:t>do</w:t>
      </w:r>
      <w:proofErr w:type="gramEnd"/>
      <w:r>
        <w:t xml:space="preserve"> Adolescente (CEDCA), previsto pela Constituição Estadual de 1989, art. 216, parágrafo único, e regulamentado pela Lei Estadual n</w:t>
      </w:r>
      <w:r>
        <w:t>° 9.579/1991, o qual tem como função formular a política de promoção e defesa dos direitos da criança e do adolescente;</w:t>
      </w:r>
    </w:p>
    <w:p w:rsidR="009C5E9E" w:rsidRDefault="006E21DD">
      <w:pPr>
        <w:pStyle w:val="LO-normal"/>
        <w:numPr>
          <w:ilvl w:val="0"/>
          <w:numId w:val="1"/>
        </w:numPr>
        <w:jc w:val="both"/>
      </w:pPr>
      <w:r>
        <w:t xml:space="preserve">Conselho Permanente de Direitos Humanos (COPED), instituído pela Constituição Estadual de 1989, art. 227, e criado pela Lei Estadual n° </w:t>
      </w:r>
      <w:r>
        <w:t>11.070/1995, ao qual compete a definição da política e a formulação das diretrizes e de programas a nível estadual, destinados à divulgação, a sistematização e ao desenvolvimento da proteção dos direitos humanos;</w:t>
      </w:r>
    </w:p>
    <w:p w:rsidR="009C5E9E" w:rsidRDefault="006E21DD">
      <w:pPr>
        <w:pStyle w:val="LO-normal"/>
        <w:numPr>
          <w:ilvl w:val="0"/>
          <w:numId w:val="1"/>
        </w:numPr>
        <w:jc w:val="both"/>
      </w:pPr>
      <w:r>
        <w:t>Conselho Estadual de Promoção da Igualdade Racial (CONSEPIR), criado pela Lei Estadual n° 17.726/2013, com a finalidade de deliberar sobre as políticas públicas que promova m a igualdade racial para combater a discriminação étnico-racial, reduzir as desigu</w:t>
      </w:r>
      <w:r>
        <w:t>aldades sociais, econômicas, políticas e culturais, atuando no monitoramento e fiscalização dessas políticas públicas setoriais, em atenção às previsões do Estatuto da Igualdade Racial;</w:t>
      </w:r>
    </w:p>
    <w:p w:rsidR="009C5E9E" w:rsidRDefault="006E21DD">
      <w:pPr>
        <w:pStyle w:val="LO-normal"/>
        <w:numPr>
          <w:ilvl w:val="0"/>
          <w:numId w:val="1"/>
        </w:numPr>
        <w:jc w:val="both"/>
      </w:pPr>
      <w:r>
        <w:t>Conselho Estadual de Proteção a Vítimas de Abuso Sexual (COPEAS), cria</w:t>
      </w:r>
      <w:r>
        <w:t>do pela Lei Estadual n° 14.648/2005 e regulamentado pelo Decreto Estadual n° 3.726/2019, com a atribuição de propor a Política Estadual de Enfrentamento à Violência Sexual, abarcando ações de prevenção e repressão à violência, bem como proteção às vítimas.</w:t>
      </w:r>
    </w:p>
    <w:p w:rsidR="009C5E9E" w:rsidRDefault="006E21DD">
      <w:pPr>
        <w:pStyle w:val="LO-normal"/>
        <w:jc w:val="both"/>
      </w:pPr>
      <w:r>
        <w:lastRenderedPageBreak/>
        <w:t xml:space="preserve">Pelo exposto, é possível compreender que a SEJUF, por determinação do Poder Legislativo, tem importante função </w:t>
      </w:r>
      <w:proofErr w:type="gramStart"/>
      <w:r>
        <w:t>na</w:t>
      </w:r>
      <w:proofErr w:type="gramEnd"/>
      <w:r>
        <w:t xml:space="preserve"> defesa dos direitos da criança e do adolescente, dos direitos humanos, na promoção da igualdade racial e na proteção a vítimas de abuso sexua</w:t>
      </w:r>
      <w:r>
        <w:t>l, além do enfrentamento à tortura e ao tráfico de pessoas.</w:t>
      </w:r>
    </w:p>
    <w:p w:rsidR="009C5E9E" w:rsidRDefault="009C5E9E">
      <w:pPr>
        <w:pStyle w:val="LO-normal"/>
        <w:jc w:val="both"/>
      </w:pPr>
    </w:p>
    <w:p w:rsidR="009C5E9E" w:rsidRDefault="006E21DD">
      <w:pPr>
        <w:pStyle w:val="LO-normal"/>
        <w:jc w:val="both"/>
      </w:pPr>
      <w:r>
        <w:t xml:space="preserve">Soma-se a tudo isso o dever de colaboração com a SESP e a Controladoria-Geral do Estado no cumprimento de suas missões institucionais, segundo a própria Lei Estadual n° 19.848/2019, art. </w:t>
      </w:r>
      <w:proofErr w:type="gramStart"/>
      <w:r>
        <w:t>28, IX.</w:t>
      </w:r>
      <w:proofErr w:type="gramEnd"/>
      <w:r>
        <w:t xml:space="preserve"> </w:t>
      </w:r>
      <w:proofErr w:type="gramStart"/>
      <w:r>
        <w:t>Dentre as competências estabelecidas à SESP no art.</w:t>
      </w:r>
      <w:proofErr w:type="gramEnd"/>
      <w:r>
        <w:t xml:space="preserve"> 25 do referido diploma legal, ressaltam-se a apuração e repressão dos crimes, em especial os praticados contra a pessoa, patrimônio e administração pública, bem como a internalização da filosofia do respe</w:t>
      </w:r>
      <w:r>
        <w:t>ito e do bem servir ao público, como setor responsável pela prestação de serviços em nível de indivíduo e de comunidade.</w:t>
      </w:r>
    </w:p>
    <w:p w:rsidR="009C5E9E" w:rsidRDefault="009C5E9E">
      <w:pPr>
        <w:pStyle w:val="LO-normal"/>
        <w:jc w:val="both"/>
      </w:pPr>
    </w:p>
    <w:p w:rsidR="009C5E9E" w:rsidRDefault="006E21DD">
      <w:pPr>
        <w:pStyle w:val="LO-normal"/>
        <w:jc w:val="both"/>
      </w:pPr>
      <w:r>
        <w:t xml:space="preserve">Da estrutura da SESP destaca-se a Polícia Científica do Estado do Paraná, unidade administrativa, técnica e financeiramente autônoma, </w:t>
      </w:r>
      <w:r>
        <w:t xml:space="preserve">subordinada à referida Secretaria de Estado, em decorrência da Emenda Constitucional Estadual nº 10/2001. </w:t>
      </w:r>
      <w:proofErr w:type="gramStart"/>
      <w:r>
        <w:t>Composta pelo Instituto de Criminalística (IC) e pelo Instituto Médico Legal (IML), é o órgão público incumbido das perícias de criminalística e médic</w:t>
      </w:r>
      <w:r>
        <w:t>o-legais, indispensáveis para elucidação de crimes quando há vestígios, conforme estabelecido pelo Código de Processo Penal.</w:t>
      </w:r>
      <w:proofErr w:type="gramEnd"/>
      <w:r>
        <w:t xml:space="preserve"> </w:t>
      </w:r>
      <w:proofErr w:type="gramStart"/>
      <w:r>
        <w:t>Sua atividade é realizada por meio da Ciência Forense.</w:t>
      </w:r>
      <w:proofErr w:type="gramEnd"/>
    </w:p>
    <w:p w:rsidR="009C5E9E" w:rsidRDefault="009C5E9E">
      <w:pPr>
        <w:pStyle w:val="LO-normal"/>
        <w:jc w:val="both"/>
      </w:pPr>
    </w:p>
    <w:p w:rsidR="009C5E9E" w:rsidRDefault="006E21DD">
      <w:pPr>
        <w:pStyle w:val="LO-normal"/>
        <w:jc w:val="both"/>
      </w:pPr>
      <w:r>
        <w:t>Ainda, junto ao Departamento de Polícia Civil (DPC) da SESP, tem-se o Servi</w:t>
      </w:r>
      <w:r>
        <w:t>ço de Investigação de Crianças Desaparecidas (SICRIDE), criado pela Resolução SESP n</w:t>
      </w:r>
      <w:proofErr w:type="gramStart"/>
      <w:r>
        <w:t xml:space="preserve">º </w:t>
      </w:r>
      <w:r>
        <w:rPr>
          <w:color w:val="202124"/>
        </w:rPr>
        <w:t xml:space="preserve"> 698</w:t>
      </w:r>
      <w:proofErr w:type="gramEnd"/>
      <w:r>
        <w:rPr>
          <w:color w:val="202124"/>
        </w:rPr>
        <w:t xml:space="preserve">/1995 e </w:t>
      </w:r>
      <w:r>
        <w:t xml:space="preserve">regulamentado pela Portaria DPC nº 1316/1995. O Serviço é responsável por centralizar o registro de ocorrência envolvendo crianças desaparecidas no âmbito do </w:t>
      </w:r>
      <w:r>
        <w:t xml:space="preserve">território estadual, promovendo </w:t>
      </w:r>
      <w:proofErr w:type="gramStart"/>
      <w:r>
        <w:t>a</w:t>
      </w:r>
      <w:proofErr w:type="gramEnd"/>
      <w:r>
        <w:t xml:space="preserve"> apuração dos fatos de seu conhecimento, mediant</w:t>
      </w:r>
      <w:r>
        <w:t xml:space="preserve">e o processamento respectivo, inclusive prosseguindo na instrução de inquéritos policiais já instaurados. Por isso, os procedimentos investigatórios que estavam tramitando em </w:t>
      </w:r>
      <w:r>
        <w:t xml:space="preserve">Delegacias de Polícia, ou presididos por designações especiais, foram encaminhados ao SICRIDE, </w:t>
      </w:r>
      <w:proofErr w:type="gramStart"/>
      <w:r>
        <w:t>na</w:t>
      </w:r>
      <w:proofErr w:type="gramEnd"/>
      <w:r>
        <w:t xml:space="preserve"> fase em que se encontravam. </w:t>
      </w:r>
      <w:proofErr w:type="gramStart"/>
      <w:r>
        <w:t>Além disso, através da Delegacia Eletrônica é possível realizar o registro de casos de desaparecimento para pessoas acima dos 12 a</w:t>
      </w:r>
      <w:r>
        <w:t>nos.</w:t>
      </w:r>
      <w:proofErr w:type="gramEnd"/>
    </w:p>
    <w:p w:rsidR="009C5E9E" w:rsidRDefault="009C5E9E">
      <w:pPr>
        <w:pStyle w:val="LO-normal"/>
        <w:jc w:val="both"/>
      </w:pPr>
    </w:p>
    <w:p w:rsidR="009C5E9E" w:rsidRDefault="006E21DD">
      <w:pPr>
        <w:pStyle w:val="LO-normal"/>
        <w:jc w:val="both"/>
      </w:pPr>
      <w:r>
        <w:t>Em sentido semelhante encontram-se as missões institucionais do Ministério Público do Estado do Paraná, Defensoria Pública do Estado do Paraná, Tribunal de Justiça do Estado do Paraná e Ordem dos Advogados Seção Paraná, que atuam no enfrentamento à v</w:t>
      </w:r>
      <w:r>
        <w:t xml:space="preserve">iolação de direitos humanos e garantia de regular exercício de direitos pela população. </w:t>
      </w:r>
      <w:proofErr w:type="gramStart"/>
      <w:r>
        <w:t>São essas instituições com as quais a SEJUF mantém importante e constante diálogo.</w:t>
      </w:r>
      <w:proofErr w:type="gramEnd"/>
    </w:p>
    <w:p w:rsidR="009C5E9E" w:rsidRDefault="009C5E9E">
      <w:pPr>
        <w:pStyle w:val="LO-normal"/>
        <w:rPr>
          <w:b/>
        </w:rPr>
      </w:pPr>
    </w:p>
    <w:p w:rsidR="009C5E9E" w:rsidRDefault="009C5E9E">
      <w:pPr>
        <w:pStyle w:val="LO-normal"/>
        <w:rPr>
          <w:b/>
        </w:rPr>
      </w:pPr>
    </w:p>
    <w:p w:rsidR="009C5E9E" w:rsidRDefault="006E21DD">
      <w:pPr>
        <w:pStyle w:val="LO-normal"/>
        <w:rPr>
          <w:b/>
        </w:rPr>
      </w:pPr>
      <w:r>
        <w:rPr>
          <w:b/>
        </w:rPr>
        <w:t>2 JUSTIFICATIVA</w:t>
      </w:r>
    </w:p>
    <w:p w:rsidR="009C5E9E" w:rsidRDefault="009C5E9E">
      <w:pPr>
        <w:pStyle w:val="LO-normal"/>
        <w:jc w:val="both"/>
      </w:pPr>
    </w:p>
    <w:p w:rsidR="009C5E9E" w:rsidRDefault="006E21DD">
      <w:pPr>
        <w:pStyle w:val="LO-normal"/>
        <w:jc w:val="both"/>
      </w:pPr>
      <w:r>
        <w:t xml:space="preserve">O “Caso Evandro” trata do desaparecimento do garoto Evandro Ramos </w:t>
      </w:r>
      <w:r>
        <w:t xml:space="preserve">Caetano, na idade de 6 anos, em 1992, na cidade litorânea de Guaratuba. </w:t>
      </w:r>
      <w:proofErr w:type="gramStart"/>
      <w:r>
        <w:t>Após o ocorrido, seguiu-se investigação, que apontou para possível sequestro seguido de assassinato.</w:t>
      </w:r>
      <w:proofErr w:type="gramEnd"/>
      <w:r>
        <w:t xml:space="preserve"> </w:t>
      </w:r>
      <w:proofErr w:type="gramStart"/>
      <w:r>
        <w:t xml:space="preserve">Embora o corpo </w:t>
      </w:r>
      <w:r>
        <w:lastRenderedPageBreak/>
        <w:t>tenha sido localizado, há suspeitas de que não seja de Evandro.</w:t>
      </w:r>
      <w:proofErr w:type="gramEnd"/>
      <w:r>
        <w:t xml:space="preserve"> Conj</w:t>
      </w:r>
      <w:r>
        <w:t xml:space="preserve">ectura-se que o caso possa ter envolvido tráfico de pessoa para fins de </w:t>
      </w:r>
      <w:proofErr w:type="gramStart"/>
      <w:r>
        <w:t>venda</w:t>
      </w:r>
      <w:proofErr w:type="gramEnd"/>
      <w:r>
        <w:t xml:space="preserve"> de órgãos ou exploração sexual.</w:t>
      </w:r>
    </w:p>
    <w:p w:rsidR="009C5E9E" w:rsidRDefault="009C5E9E">
      <w:pPr>
        <w:pStyle w:val="LO-normal"/>
        <w:jc w:val="both"/>
      </w:pPr>
    </w:p>
    <w:p w:rsidR="009C5E9E" w:rsidRDefault="006E21DD">
      <w:pPr>
        <w:pStyle w:val="LO-normal"/>
        <w:jc w:val="both"/>
      </w:pPr>
      <w:proofErr w:type="gramStart"/>
      <w:r>
        <w:t>Acerca da investigação promovida à época, recaem suspeitas de que tenha sido perpetrada tortura policial e abuso sexual contra as possíveis agres</w:t>
      </w:r>
      <w:r>
        <w:t>soras, para que as mesmas confessassem, utilizando-se também da discriminação contra as religiões de matriz africana para sua incriminação.</w:t>
      </w:r>
      <w:proofErr w:type="gramEnd"/>
      <w:r>
        <w:t xml:space="preserve"> Tais questões foram tornadas públicas a partir de trabalhos jornalísticos, dos quais destacam-se o </w:t>
      </w:r>
      <w:r>
        <w:rPr>
          <w:i/>
        </w:rPr>
        <w:t>podcast</w:t>
      </w:r>
      <w:r>
        <w:t xml:space="preserve"> “Projeto </w:t>
      </w:r>
      <w:r>
        <w:t xml:space="preserve">Humanos” e a série “O Caso Evandro”, disponibilizada pela </w:t>
      </w:r>
      <w:r>
        <w:rPr>
          <w:i/>
        </w:rPr>
        <w:t>Globoplay</w:t>
      </w:r>
      <w:r>
        <w:t xml:space="preserve">. </w:t>
      </w:r>
    </w:p>
    <w:p w:rsidR="009C5E9E" w:rsidRDefault="009C5E9E">
      <w:pPr>
        <w:pStyle w:val="LO-normal"/>
        <w:jc w:val="both"/>
      </w:pPr>
    </w:p>
    <w:p w:rsidR="009C5E9E" w:rsidRDefault="006E21DD">
      <w:pPr>
        <w:pStyle w:val="LO-normal"/>
        <w:jc w:val="both"/>
      </w:pPr>
      <w:r>
        <w:t>Assim sendo, levando em conta as atribuições da SEJUF, da SESP e demais órgãos do Sistema de Justiça, entende-se pela necessidade de adoção de medidas para análise do caso em conjunto c</w:t>
      </w:r>
      <w:r>
        <w:t xml:space="preserve">om as demais instituições competentes para tanto. Nesse sentido, destaca-se que, ainda que o crime tenha ocorrido em 1992, alguns dos elementos supramencionados afastam a prescrição da punição, urgindo </w:t>
      </w:r>
      <w:proofErr w:type="gramStart"/>
      <w:r>
        <w:t>a</w:t>
      </w:r>
      <w:proofErr w:type="gramEnd"/>
      <w:r>
        <w:t xml:space="preserve"> adoção de medidas de responsabilização.</w:t>
      </w:r>
    </w:p>
    <w:p w:rsidR="009C5E9E" w:rsidRDefault="009C5E9E">
      <w:pPr>
        <w:pStyle w:val="LO-normal"/>
        <w:jc w:val="both"/>
      </w:pPr>
    </w:p>
    <w:p w:rsidR="009C5E9E" w:rsidRDefault="006E21DD">
      <w:pPr>
        <w:pStyle w:val="LO-normal"/>
        <w:jc w:val="both"/>
      </w:pPr>
      <w:r>
        <w:t>Inicialment</w:t>
      </w:r>
      <w:r>
        <w:t>e, há a alegação de que o corpo apresentado não seja do garoto Evandro, de modo que, sem a localização de seus restos mortais, este se enquadra enquanto um crime ainda em curso. Por disposição do art. 111, III, do Código Penal brasileiro, tem-se que nos cr</w:t>
      </w:r>
      <w:r>
        <w:t>imes permanentes, a prescrição só começa a correr no dia em que cessar a permanência, portanto, vale naqueles casos de desaparecimento forçado, sequestro, e ocultação de cadáver.</w:t>
      </w:r>
    </w:p>
    <w:p w:rsidR="009C5E9E" w:rsidRDefault="009C5E9E">
      <w:pPr>
        <w:pStyle w:val="LO-normal"/>
        <w:jc w:val="both"/>
      </w:pPr>
    </w:p>
    <w:p w:rsidR="009C5E9E" w:rsidRDefault="006E21DD">
      <w:pPr>
        <w:pStyle w:val="LO-normal"/>
        <w:jc w:val="both"/>
      </w:pPr>
      <w:proofErr w:type="gramStart"/>
      <w:r>
        <w:t>Ademais, por disposição da Constituição da República de 1988, art.</w:t>
      </w:r>
      <w:proofErr w:type="gramEnd"/>
      <w:r>
        <w:t xml:space="preserve"> </w:t>
      </w:r>
      <w:proofErr w:type="gramStart"/>
      <w:r>
        <w:t>5º, XLII,</w:t>
      </w:r>
      <w:r>
        <w:t xml:space="preserve"> o crime de racismo é imprescritível.</w:t>
      </w:r>
      <w:proofErr w:type="gramEnd"/>
      <w:r>
        <w:t xml:space="preserve"> </w:t>
      </w:r>
      <w:proofErr w:type="gramStart"/>
      <w:r>
        <w:t>Racismo, segundo a Lei 7.716/1989, são os crimes resultantes de discriminação ou preconceito de raça, cor, etnia, religião ou procedência nacional.</w:t>
      </w:r>
      <w:proofErr w:type="gramEnd"/>
      <w:r>
        <w:t xml:space="preserve"> Desta feita, ainda é possível ao Estado do Paraná a adoção de medidas </w:t>
      </w:r>
      <w:r>
        <w:t>face ao possível racismo religioso perpetrado por agentes de Estado e particulares para sustentar a versão do ocorrido no Caso Evandro.</w:t>
      </w:r>
    </w:p>
    <w:p w:rsidR="009C5E9E" w:rsidRDefault="009C5E9E">
      <w:pPr>
        <w:pStyle w:val="LO-normal"/>
        <w:jc w:val="both"/>
      </w:pPr>
    </w:p>
    <w:p w:rsidR="009C5E9E" w:rsidRDefault="006E21DD">
      <w:pPr>
        <w:pStyle w:val="LO-normal"/>
        <w:jc w:val="both"/>
      </w:pPr>
      <w:r>
        <w:t xml:space="preserve">Por fim, a suspeita de tortura, especialmente por agentes de Estado, deve receber atenção ainda que perante </w:t>
      </w:r>
      <w:proofErr w:type="gramStart"/>
      <w:r>
        <w:t>este</w:t>
      </w:r>
      <w:proofErr w:type="gramEnd"/>
      <w:r>
        <w:t xml:space="preserve"> decurs</w:t>
      </w:r>
      <w:r>
        <w:t>o de tempo. Isto, pois, a tortura é considerada pelo Estatuto de Roma do Tribunal Penal Internacional (art. 7º), ratificado pelo Brasil por meio do Decreto nº 4.388/2002, como crime contra humanidade (ou lesa humanidade), estando, como tal, no âmbito da ju</w:t>
      </w:r>
      <w:r>
        <w:t>risdição do referido Tribunal e sendo, portanto, imprescritível na esteira do art. 29 do Estatuto.</w:t>
      </w:r>
    </w:p>
    <w:p w:rsidR="009C5E9E" w:rsidRDefault="009C5E9E">
      <w:pPr>
        <w:pStyle w:val="LO-normal"/>
        <w:jc w:val="both"/>
      </w:pPr>
    </w:p>
    <w:p w:rsidR="009C5E9E" w:rsidRDefault="006E21DD">
      <w:pPr>
        <w:pStyle w:val="LO-normal"/>
        <w:jc w:val="both"/>
      </w:pPr>
      <w:r>
        <w:t xml:space="preserve">Cabe destacar, todavia, que </w:t>
      </w:r>
      <w:proofErr w:type="gramStart"/>
      <w:r>
        <w:t>a</w:t>
      </w:r>
      <w:proofErr w:type="gramEnd"/>
      <w:r>
        <w:t xml:space="preserve"> atuação do GT terá como foco principal a recomendação de medidas para evitar que o ocorrido se repita no Estado, tendo como pa</w:t>
      </w:r>
      <w:r>
        <w:t>râmetro o julgamento de graves violações de direitos humanos por instâncias internacionais.</w:t>
      </w:r>
    </w:p>
    <w:p w:rsidR="009C5E9E" w:rsidRDefault="009C5E9E">
      <w:pPr>
        <w:pStyle w:val="LO-normal"/>
        <w:jc w:val="both"/>
      </w:pPr>
    </w:p>
    <w:p w:rsidR="009C5E9E" w:rsidRDefault="006E21DD">
      <w:pPr>
        <w:pStyle w:val="LO-normal"/>
        <w:jc w:val="both"/>
      </w:pPr>
      <w:r>
        <w:t xml:space="preserve">A Corte Interamericana de Direitos Humanos, por exemplo, a qual o Brasil encontra-se submetido face à promulgação de sua adesão à Convenção Americana sobre Direitos </w:t>
      </w:r>
      <w:r>
        <w:lastRenderedPageBreak/>
        <w:t>Humanos (Pacto de São José da Costa Rica), por meio do Decreto nº 678/1992, no julgamento d</w:t>
      </w:r>
      <w:r>
        <w:t>e casos determina também a criação e fortalecimento de políticas públicas adequadas ao enfrentamento das violações, bem como a adoção de medidas de reparação para as vítimas, não apenas em âmbito individual, mas de forma pública por meio de monumentos públ</w:t>
      </w:r>
      <w:r>
        <w:t>icos em homenagem a vítimas.</w:t>
      </w:r>
    </w:p>
    <w:p w:rsidR="009C5E9E" w:rsidRDefault="009C5E9E">
      <w:pPr>
        <w:pStyle w:val="LO-normal"/>
        <w:jc w:val="center"/>
        <w:rPr>
          <w:b/>
        </w:rPr>
      </w:pPr>
    </w:p>
    <w:p w:rsidR="009C5E9E" w:rsidRDefault="009C5E9E">
      <w:pPr>
        <w:pStyle w:val="LO-normal"/>
        <w:rPr>
          <w:b/>
        </w:rPr>
      </w:pPr>
    </w:p>
    <w:p w:rsidR="009C5E9E" w:rsidRDefault="006E21DD">
      <w:pPr>
        <w:pStyle w:val="LO-normal"/>
        <w:rPr>
          <w:b/>
        </w:rPr>
      </w:pPr>
      <w:r>
        <w:rPr>
          <w:b/>
        </w:rPr>
        <w:t>3 OBJETIVO GERAL</w:t>
      </w:r>
    </w:p>
    <w:p w:rsidR="009C5E9E" w:rsidRDefault="009C5E9E">
      <w:pPr>
        <w:pStyle w:val="LO-normal"/>
        <w:jc w:val="center"/>
        <w:rPr>
          <w:b/>
        </w:rPr>
      </w:pPr>
    </w:p>
    <w:p w:rsidR="009C5E9E" w:rsidRDefault="006E21DD">
      <w:pPr>
        <w:pStyle w:val="LO-normal"/>
        <w:jc w:val="both"/>
      </w:pPr>
      <w:r>
        <w:t>Analisar, de forma interinstitucional, o emblemático Caso Evandro, visando identificar possíveis violações de direitos humanos e sugerir aos órgãos competentes a adoção de medidas cabíveis para apuração de e</w:t>
      </w:r>
      <w:r>
        <w:t>ventuais ilicitudes no caso, bem como recomendar a implantação, implementação e fortalecimento de políticas públicas para evitar que as violações identificadas se repitam no Estado do Paraná.</w:t>
      </w:r>
    </w:p>
    <w:p w:rsidR="009C5E9E" w:rsidRDefault="009C5E9E">
      <w:pPr>
        <w:pStyle w:val="LO-normal"/>
        <w:jc w:val="center"/>
        <w:rPr>
          <w:b/>
        </w:rPr>
      </w:pPr>
    </w:p>
    <w:p w:rsidR="009C5E9E" w:rsidRDefault="009C5E9E">
      <w:pPr>
        <w:pStyle w:val="LO-normal"/>
        <w:rPr>
          <w:b/>
        </w:rPr>
      </w:pPr>
    </w:p>
    <w:p w:rsidR="009C5E9E" w:rsidRDefault="006E21DD">
      <w:pPr>
        <w:pStyle w:val="LO-normal"/>
        <w:rPr>
          <w:b/>
        </w:rPr>
      </w:pPr>
      <w:r>
        <w:rPr>
          <w:b/>
        </w:rPr>
        <w:t>4 OBJETIVOS ESPECÍFICOS</w:t>
      </w:r>
    </w:p>
    <w:p w:rsidR="009C5E9E" w:rsidRDefault="009C5E9E">
      <w:pPr>
        <w:pStyle w:val="LO-normal"/>
        <w:rPr>
          <w:b/>
        </w:rPr>
      </w:pPr>
    </w:p>
    <w:p w:rsidR="009C5E9E" w:rsidRDefault="006E21DD">
      <w:pPr>
        <w:pStyle w:val="LO-normal"/>
        <w:numPr>
          <w:ilvl w:val="0"/>
          <w:numId w:val="3"/>
        </w:numPr>
        <w:jc w:val="both"/>
      </w:pPr>
      <w:r>
        <w:t>Dialogar com as instâncias competente</w:t>
      </w:r>
      <w:r>
        <w:t>s para apuração de eventuais ilicitudes no Caso Evandro, perante as novas tecnologias disponíveis e provas supostamente novas;</w:t>
      </w:r>
    </w:p>
    <w:p w:rsidR="009C5E9E" w:rsidRDefault="006E21DD">
      <w:pPr>
        <w:pStyle w:val="LO-normal"/>
        <w:numPr>
          <w:ilvl w:val="0"/>
          <w:numId w:val="3"/>
        </w:numPr>
        <w:jc w:val="both"/>
      </w:pPr>
      <w:r>
        <w:t>Levantar possíveis violações de direitos ocorridas no caso;</w:t>
      </w:r>
    </w:p>
    <w:p w:rsidR="009C5E9E" w:rsidRDefault="006E21DD">
      <w:pPr>
        <w:pStyle w:val="LO-normal"/>
        <w:numPr>
          <w:ilvl w:val="0"/>
          <w:numId w:val="3"/>
        </w:numPr>
        <w:jc w:val="both"/>
      </w:pPr>
      <w:r>
        <w:t>Mapear a rede de proteção disponível para prevenir casos de violações de direitos  e possibilitar a denúncia e investigação dos mesmos;</w:t>
      </w:r>
    </w:p>
    <w:p w:rsidR="009C5E9E" w:rsidRDefault="006E21DD">
      <w:pPr>
        <w:pStyle w:val="LO-normal"/>
        <w:numPr>
          <w:ilvl w:val="0"/>
          <w:numId w:val="3"/>
        </w:numPr>
        <w:jc w:val="both"/>
      </w:pPr>
      <w:r>
        <w:t>Fortalecer as redes de defesa de direitos humanos no Estado do Paraná, promovendo o diálogo interinstitucional;</w:t>
      </w:r>
    </w:p>
    <w:p w:rsidR="009C5E9E" w:rsidRDefault="006E21DD">
      <w:pPr>
        <w:pStyle w:val="LO-normal"/>
        <w:numPr>
          <w:ilvl w:val="0"/>
          <w:numId w:val="3"/>
        </w:numPr>
        <w:jc w:val="both"/>
      </w:pPr>
      <w:r>
        <w:t>Fortalec</w:t>
      </w:r>
      <w:r>
        <w:t xml:space="preserve">er procedimentos e protocolos existentes, bem como recomendar a adequação e criação de novos, para registro e investigação de casos de violações de direitos; </w:t>
      </w:r>
    </w:p>
    <w:p w:rsidR="009C5E9E" w:rsidRDefault="006E21DD">
      <w:pPr>
        <w:pStyle w:val="LO-normal"/>
        <w:numPr>
          <w:ilvl w:val="0"/>
          <w:numId w:val="3"/>
        </w:numPr>
        <w:jc w:val="both"/>
      </w:pPr>
      <w:r>
        <w:t>Fortalecer a garantia do direito à vida e à convivência familiar e comunitária de crianças e adol</w:t>
      </w:r>
      <w:r>
        <w:t>escentes;</w:t>
      </w:r>
    </w:p>
    <w:p w:rsidR="009C5E9E" w:rsidRDefault="006E21DD">
      <w:pPr>
        <w:pStyle w:val="LO-normal"/>
        <w:numPr>
          <w:ilvl w:val="0"/>
          <w:numId w:val="3"/>
        </w:numPr>
        <w:jc w:val="both"/>
      </w:pPr>
      <w:r>
        <w:t>Fortalecer a rede de prevenção, repressão e solução do desaparecimento de pessoas, com foco prioritário em crianças e adolescentes;</w:t>
      </w:r>
    </w:p>
    <w:p w:rsidR="009C5E9E" w:rsidRDefault="006E21DD">
      <w:pPr>
        <w:pStyle w:val="LO-normal"/>
        <w:numPr>
          <w:ilvl w:val="0"/>
          <w:numId w:val="3"/>
        </w:numPr>
        <w:jc w:val="both"/>
      </w:pPr>
      <w:r>
        <w:t>Fortalecer o combate e enfrentamento a práticas de tortura, como um crime abominável;</w:t>
      </w:r>
    </w:p>
    <w:p w:rsidR="009C5E9E" w:rsidRDefault="006E21DD">
      <w:pPr>
        <w:pStyle w:val="LO-normal"/>
        <w:numPr>
          <w:ilvl w:val="0"/>
          <w:numId w:val="3"/>
        </w:numPr>
        <w:jc w:val="both"/>
      </w:pPr>
      <w:r>
        <w:t>Promover o direito ao exercí</w:t>
      </w:r>
      <w:r>
        <w:t>cio da liberdade de crença e o respeito à diversidade religiosa;</w:t>
      </w:r>
    </w:p>
    <w:p w:rsidR="009C5E9E" w:rsidRDefault="006E21DD">
      <w:pPr>
        <w:pStyle w:val="LO-normal"/>
        <w:numPr>
          <w:ilvl w:val="0"/>
          <w:numId w:val="3"/>
        </w:numPr>
        <w:jc w:val="both"/>
      </w:pPr>
      <w:r>
        <w:t>Sugerir a criação e revisão legislativa;</w:t>
      </w:r>
    </w:p>
    <w:p w:rsidR="009C5E9E" w:rsidRDefault="006E21DD">
      <w:pPr>
        <w:pStyle w:val="LO-normal"/>
        <w:numPr>
          <w:ilvl w:val="0"/>
          <w:numId w:val="3"/>
        </w:numPr>
        <w:jc w:val="both"/>
      </w:pPr>
      <w:r>
        <w:t>Sugerir a criação de parâmetros de atuação para identificação e prevenção de falhas no sistema de justiça;</w:t>
      </w:r>
    </w:p>
    <w:p w:rsidR="009C5E9E" w:rsidRDefault="006E21DD">
      <w:pPr>
        <w:pStyle w:val="LO-normal"/>
        <w:numPr>
          <w:ilvl w:val="0"/>
          <w:numId w:val="3"/>
        </w:numPr>
        <w:jc w:val="both"/>
      </w:pPr>
      <w:r>
        <w:t>Emitir recomendações aos órgãos competentes</w:t>
      </w:r>
      <w:r>
        <w:t xml:space="preserve"> para adoção de medidas cabíveis.</w:t>
      </w:r>
    </w:p>
    <w:p w:rsidR="009C5E9E" w:rsidRDefault="009C5E9E">
      <w:pPr>
        <w:pStyle w:val="LO-normal"/>
        <w:rPr>
          <w:b/>
        </w:rPr>
      </w:pPr>
    </w:p>
    <w:p w:rsidR="009C5E9E" w:rsidRDefault="009C5E9E">
      <w:pPr>
        <w:pStyle w:val="LO-normal"/>
        <w:rPr>
          <w:b/>
        </w:rPr>
      </w:pPr>
    </w:p>
    <w:p w:rsidR="009C5E9E" w:rsidRDefault="009C5E9E">
      <w:pPr>
        <w:pStyle w:val="LO-normal"/>
        <w:rPr>
          <w:b/>
        </w:rPr>
      </w:pPr>
    </w:p>
    <w:p w:rsidR="009C5E9E" w:rsidRDefault="006E21DD">
      <w:pPr>
        <w:pStyle w:val="LO-normal"/>
        <w:rPr>
          <w:b/>
        </w:rPr>
      </w:pPr>
      <w:r>
        <w:rPr>
          <w:b/>
        </w:rPr>
        <w:lastRenderedPageBreak/>
        <w:t>5 METAS</w:t>
      </w:r>
    </w:p>
    <w:p w:rsidR="009C5E9E" w:rsidRDefault="009C5E9E">
      <w:pPr>
        <w:pStyle w:val="LO-normal"/>
        <w:rPr>
          <w:b/>
        </w:rPr>
      </w:pPr>
    </w:p>
    <w:p w:rsidR="009C5E9E" w:rsidRDefault="006E21DD">
      <w:pPr>
        <w:pStyle w:val="LO-normal"/>
        <w:jc w:val="both"/>
      </w:pPr>
      <w:r>
        <w:t>Elaborar Relatório Final, contendo informações sobre o trabalho do GT e recomendações de medidas aos órgãos competentes, com a disponibilização de documentos em repositório público.</w:t>
      </w:r>
    </w:p>
    <w:p w:rsidR="009C5E9E" w:rsidRDefault="009C5E9E">
      <w:pPr>
        <w:pStyle w:val="LO-normal"/>
        <w:jc w:val="center"/>
        <w:rPr>
          <w:b/>
        </w:rPr>
      </w:pPr>
    </w:p>
    <w:p w:rsidR="009C5E9E" w:rsidRDefault="009C5E9E">
      <w:pPr>
        <w:pStyle w:val="LO-normal"/>
        <w:rPr>
          <w:b/>
        </w:rPr>
      </w:pPr>
    </w:p>
    <w:p w:rsidR="009C5E9E" w:rsidRDefault="006E21DD">
      <w:pPr>
        <w:pStyle w:val="LO-normal"/>
        <w:rPr>
          <w:b/>
        </w:rPr>
      </w:pPr>
      <w:r>
        <w:rPr>
          <w:b/>
        </w:rPr>
        <w:t>6 METODOLOGIA</w:t>
      </w:r>
    </w:p>
    <w:p w:rsidR="009C5E9E" w:rsidRDefault="009C5E9E">
      <w:pPr>
        <w:pStyle w:val="LO-normal"/>
        <w:rPr>
          <w:b/>
        </w:rPr>
      </w:pPr>
    </w:p>
    <w:p w:rsidR="009C5E9E" w:rsidRDefault="006E21DD">
      <w:pPr>
        <w:pStyle w:val="LO-normal"/>
        <w:jc w:val="both"/>
      </w:pPr>
      <w:r>
        <w:t xml:space="preserve">Inicialmente, a composição do Grupo se dará somente por instituições convidadas que sejam afetas aos trabalhos deste, </w:t>
      </w:r>
      <w:proofErr w:type="gramStart"/>
      <w:r>
        <w:t>cujos(</w:t>
      </w:r>
      <w:proofErr w:type="gramEnd"/>
      <w:r>
        <w:t>as) representantes serão indicados(as) pelo Titular das mesmas.</w:t>
      </w:r>
    </w:p>
    <w:p w:rsidR="009C5E9E" w:rsidRDefault="009C5E9E">
      <w:pPr>
        <w:pStyle w:val="LO-normal"/>
        <w:jc w:val="both"/>
      </w:pPr>
    </w:p>
    <w:p w:rsidR="009C5E9E" w:rsidRDefault="006E21DD">
      <w:pPr>
        <w:pStyle w:val="LO-normal"/>
        <w:jc w:val="both"/>
      </w:pPr>
      <w:r>
        <w:t>Considerando que a meta do GT é a elaboração de Relatório Final, co</w:t>
      </w:r>
      <w:r>
        <w:t xml:space="preserve">ntendo informações sobre o trabalho do GT e Recomendações de medidas aos órgãos competentes, bem como disponibilização de documentos em repositório público, entende-se necessária, durante as reuniões do GT, a escuta de </w:t>
      </w:r>
      <w:r>
        <w:rPr>
          <w:b/>
        </w:rPr>
        <w:t>relatos espontâneos</w:t>
      </w:r>
      <w:r>
        <w:t xml:space="preserve"> de pessoas </w:t>
      </w:r>
      <w:r>
        <w:rPr>
          <w:b/>
        </w:rPr>
        <w:t>convid</w:t>
      </w:r>
      <w:r>
        <w:rPr>
          <w:b/>
        </w:rPr>
        <w:t>adas</w:t>
      </w:r>
      <w:r>
        <w:t xml:space="preserve"> relacionadas ao caso e às instituições e políticas públicas afetas, a fim de levantar o que cada pessoa identifica como um obstáculo a ser superado e o que recomenda para a superação.</w:t>
      </w:r>
    </w:p>
    <w:p w:rsidR="009C5E9E" w:rsidRDefault="009C5E9E">
      <w:pPr>
        <w:pStyle w:val="LO-normal"/>
        <w:jc w:val="both"/>
      </w:pPr>
    </w:p>
    <w:p w:rsidR="009C5E9E" w:rsidRDefault="006E21DD">
      <w:pPr>
        <w:pStyle w:val="LO-normal"/>
        <w:jc w:val="both"/>
      </w:pPr>
      <w:r>
        <w:t>Previamente, todavia, entende-se pela necessidade de verificar jun</w:t>
      </w:r>
      <w:r>
        <w:t xml:space="preserve">to à Polícia Civil, MPPR e representantes legais sobre a existência de nova investigação, perícia de provas, e ou pedido de revisão criminal. </w:t>
      </w:r>
      <w:proofErr w:type="gramStart"/>
      <w:r>
        <w:t>Ademais, verificar com as autoridades o que é possível tratar no GT e formas de escuta que não promovam revitimiza</w:t>
      </w:r>
      <w:r>
        <w:t>ção.</w:t>
      </w:r>
      <w:proofErr w:type="gramEnd"/>
      <w:r>
        <w:t xml:space="preserve"> Durante </w:t>
      </w:r>
      <w:proofErr w:type="gramStart"/>
      <w:r>
        <w:t>a</w:t>
      </w:r>
      <w:proofErr w:type="gramEnd"/>
      <w:r>
        <w:t xml:space="preserve"> escuta, por sua vez, possibilitar a confidencialidade da informação.</w:t>
      </w:r>
    </w:p>
    <w:p w:rsidR="009C5E9E" w:rsidRDefault="009C5E9E">
      <w:pPr>
        <w:pStyle w:val="LO-normal"/>
        <w:jc w:val="both"/>
      </w:pPr>
    </w:p>
    <w:p w:rsidR="009C5E9E" w:rsidRDefault="006E21DD">
      <w:pPr>
        <w:pStyle w:val="LO-normal"/>
        <w:jc w:val="both"/>
      </w:pPr>
      <w:r>
        <w:t xml:space="preserve">Assim sendo, tem-se </w:t>
      </w:r>
      <w:proofErr w:type="gramStart"/>
      <w:r>
        <w:t>como</w:t>
      </w:r>
      <w:proofErr w:type="gramEnd"/>
      <w:r>
        <w:t xml:space="preserve"> metodologia das reuniões semanais, com duração das 9h às 12h:</w:t>
      </w:r>
    </w:p>
    <w:p w:rsidR="009C5E9E" w:rsidRDefault="006E21DD">
      <w:pPr>
        <w:pStyle w:val="LO-normal"/>
        <w:numPr>
          <w:ilvl w:val="0"/>
          <w:numId w:val="4"/>
        </w:numPr>
        <w:jc w:val="both"/>
      </w:pPr>
      <w:r>
        <w:t>Abertura pela Coordenação;</w:t>
      </w:r>
    </w:p>
    <w:p w:rsidR="009C5E9E" w:rsidRDefault="006E21DD">
      <w:pPr>
        <w:pStyle w:val="LO-normal"/>
        <w:numPr>
          <w:ilvl w:val="0"/>
          <w:numId w:val="4"/>
        </w:numPr>
        <w:jc w:val="both"/>
      </w:pPr>
      <w:r>
        <w:t>Chamada dos membros;</w:t>
      </w:r>
    </w:p>
    <w:p w:rsidR="009C5E9E" w:rsidRDefault="006E21DD">
      <w:pPr>
        <w:pStyle w:val="LO-normal"/>
        <w:numPr>
          <w:ilvl w:val="0"/>
          <w:numId w:val="4"/>
        </w:numPr>
        <w:jc w:val="both"/>
      </w:pPr>
      <w:r>
        <w:t>Apresentação da ata da reunião anter</w:t>
      </w:r>
      <w:r>
        <w:t>ior e dos encaminhamentos aprovados;</w:t>
      </w:r>
    </w:p>
    <w:p w:rsidR="009C5E9E" w:rsidRDefault="006E21DD">
      <w:pPr>
        <w:pStyle w:val="LO-normal"/>
        <w:numPr>
          <w:ilvl w:val="0"/>
          <w:numId w:val="4"/>
        </w:numPr>
        <w:jc w:val="both"/>
      </w:pPr>
      <w:r>
        <w:t>Relato espontâneo de pessoas convidadas, pelo período de até 45 min;</w:t>
      </w:r>
    </w:p>
    <w:p w:rsidR="009C5E9E" w:rsidRDefault="006E21DD">
      <w:pPr>
        <w:pStyle w:val="LO-normal"/>
        <w:numPr>
          <w:ilvl w:val="0"/>
          <w:numId w:val="4"/>
        </w:numPr>
        <w:jc w:val="both"/>
      </w:pPr>
      <w:r>
        <w:t>Perguntas dos membros do GT;</w:t>
      </w:r>
    </w:p>
    <w:p w:rsidR="009C5E9E" w:rsidRDefault="006E21DD">
      <w:pPr>
        <w:pStyle w:val="LO-normal"/>
        <w:numPr>
          <w:ilvl w:val="0"/>
          <w:numId w:val="4"/>
        </w:numPr>
        <w:jc w:val="both"/>
      </w:pPr>
      <w:r>
        <w:t>Debates internos sobre o relato trazido;</w:t>
      </w:r>
    </w:p>
    <w:p w:rsidR="009C5E9E" w:rsidRDefault="006E21DD">
      <w:pPr>
        <w:pStyle w:val="LO-normal"/>
        <w:numPr>
          <w:ilvl w:val="0"/>
          <w:numId w:val="4"/>
        </w:numPr>
        <w:jc w:val="both"/>
      </w:pPr>
      <w:r>
        <w:t>Definição de encaminhamentos.</w:t>
      </w:r>
    </w:p>
    <w:p w:rsidR="009C5E9E" w:rsidRDefault="009C5E9E">
      <w:pPr>
        <w:pStyle w:val="LO-normal"/>
        <w:jc w:val="both"/>
      </w:pPr>
    </w:p>
    <w:p w:rsidR="009C5E9E" w:rsidRDefault="006E21DD">
      <w:pPr>
        <w:pStyle w:val="LO-normal"/>
        <w:jc w:val="both"/>
      </w:pPr>
      <w:r>
        <w:t>As reuniões serão gravadas para arquivo e disponi</w:t>
      </w:r>
      <w:r>
        <w:t xml:space="preserve">bilização a </w:t>
      </w:r>
      <w:proofErr w:type="gramStart"/>
      <w:r>
        <w:t>acadêmicos(</w:t>
      </w:r>
      <w:proofErr w:type="gramEnd"/>
      <w:r>
        <w:t>as) e instituições de ensino.</w:t>
      </w:r>
    </w:p>
    <w:p w:rsidR="009C5E9E" w:rsidRDefault="009C5E9E">
      <w:pPr>
        <w:pStyle w:val="LO-normal"/>
        <w:jc w:val="both"/>
      </w:pPr>
    </w:p>
    <w:p w:rsidR="009C5E9E" w:rsidRDefault="006E21DD">
      <w:pPr>
        <w:pStyle w:val="LO-normal"/>
        <w:jc w:val="both"/>
      </w:pPr>
      <w:proofErr w:type="gramStart"/>
      <w:r>
        <w:t>Para aprofundamento das questões, o Grupo será subdividido em eixos e subeixos formados por membros de acordo com as competências da instituição que representa.</w:t>
      </w:r>
      <w:proofErr w:type="gramEnd"/>
      <w:r>
        <w:t xml:space="preserve"> Para a criação dos eixos, levar-se-á em c</w:t>
      </w:r>
      <w:r>
        <w:t>onta as áreas afetas a partir de uma análise inicial do caso.</w:t>
      </w:r>
    </w:p>
    <w:p w:rsidR="009C5E9E" w:rsidRDefault="009C5E9E">
      <w:pPr>
        <w:pStyle w:val="LO-normal"/>
        <w:jc w:val="both"/>
      </w:pPr>
    </w:p>
    <w:p w:rsidR="009C5E9E" w:rsidRDefault="006E21DD">
      <w:pPr>
        <w:pStyle w:val="LO-normal"/>
        <w:jc w:val="both"/>
        <w:sectPr w:rsidR="009C5E9E">
          <w:headerReference w:type="default" r:id="rId8"/>
          <w:footerReference w:type="default" r:id="rId9"/>
          <w:pgSz w:w="11906" w:h="16838"/>
          <w:pgMar w:top="1440" w:right="1440" w:bottom="1440" w:left="1440" w:header="720" w:footer="720" w:gutter="0"/>
          <w:pgNumType w:start="1"/>
          <w:cols w:space="720"/>
        </w:sectPr>
      </w:pPr>
      <w:r>
        <w:lastRenderedPageBreak/>
        <w:t xml:space="preserve">Aos integrantes de cada eixo caberá a definição de </w:t>
      </w:r>
      <w:proofErr w:type="gramStart"/>
      <w:r>
        <w:t>convidados(</w:t>
      </w:r>
      <w:proofErr w:type="gramEnd"/>
      <w:r>
        <w:t>as) para relato espontâneo, bem como a elaboração do texto contendo as atividades desenvolvidas e recomendações para composição do relatório final.</w:t>
      </w:r>
    </w:p>
    <w:p w:rsidR="009C5E9E" w:rsidRDefault="009C5E9E">
      <w:pPr>
        <w:pStyle w:val="LO-normal"/>
        <w:jc w:val="both"/>
      </w:pPr>
    </w:p>
    <w:tbl>
      <w:tblPr>
        <w:tblStyle w:val="a"/>
        <w:tblW w:w="14041" w:type="dxa"/>
        <w:tblInd w:w="0" w:type="dxa"/>
        <w:tblLayout w:type="fixed"/>
        <w:tblLook w:val="0600"/>
      </w:tblPr>
      <w:tblGrid>
        <w:gridCol w:w="2011"/>
        <w:gridCol w:w="2220"/>
        <w:gridCol w:w="1695"/>
        <w:gridCol w:w="3735"/>
        <w:gridCol w:w="2535"/>
        <w:gridCol w:w="1845"/>
      </w:tblGrid>
      <w:tr w:rsidR="009C5E9E">
        <w:trPr>
          <w:cantSplit/>
          <w:tblHeader/>
        </w:trPr>
        <w:tc>
          <w:tcPr>
            <w:tcW w:w="2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C5E9E" w:rsidRDefault="006E21DD">
            <w:pPr>
              <w:pStyle w:val="LO-normal"/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EIXO</w:t>
            </w: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C5E9E" w:rsidRDefault="006E21DD">
            <w:pPr>
              <w:pStyle w:val="LO-normal"/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SUBEIXO</w:t>
            </w: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C5E9E" w:rsidRDefault="006E21DD">
            <w:pPr>
              <w:pStyle w:val="LO-normal"/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INTEGRANTES</w:t>
            </w:r>
          </w:p>
        </w:tc>
        <w:tc>
          <w:tcPr>
            <w:tcW w:w="3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C5E9E" w:rsidRDefault="006E21DD">
            <w:pPr>
              <w:pStyle w:val="LO-normal"/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 xml:space="preserve">CONVIDADOS(AS) </w:t>
            </w:r>
          </w:p>
        </w:tc>
        <w:tc>
          <w:tcPr>
            <w:tcW w:w="2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C5E9E" w:rsidRDefault="006E21DD">
            <w:pPr>
              <w:pStyle w:val="LO-normal"/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RESPONSÁVEL PELO CONVITE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C5E9E" w:rsidRDefault="006E21DD">
            <w:pPr>
              <w:pStyle w:val="LO-normal"/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DATA PARA CONVITE</w:t>
            </w:r>
          </w:p>
        </w:tc>
      </w:tr>
      <w:tr w:rsidR="009C5E9E">
        <w:trPr>
          <w:cantSplit/>
          <w:trHeight w:val="400"/>
          <w:tblHeader/>
        </w:trPr>
        <w:tc>
          <w:tcPr>
            <w:tcW w:w="20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C5E9E" w:rsidRDefault="006E21DD">
            <w:pPr>
              <w:pStyle w:val="LO-normal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Eixo Imprensa e Jornalismo</w:t>
            </w:r>
          </w:p>
        </w:tc>
        <w:tc>
          <w:tcPr>
            <w:tcW w:w="22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C5E9E" w:rsidRDefault="009C5E9E">
            <w:pPr>
              <w:pStyle w:val="LO-normal"/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69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C5E9E" w:rsidRDefault="006E21DD">
            <w:pPr>
              <w:pStyle w:val="LO-normal"/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COPED</w:t>
            </w:r>
          </w:p>
        </w:tc>
        <w:tc>
          <w:tcPr>
            <w:tcW w:w="3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C5E9E" w:rsidRDefault="006E21DD">
            <w:pPr>
              <w:pStyle w:val="LO-normal"/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Ivan Mizanzuk;</w:t>
            </w:r>
          </w:p>
        </w:tc>
        <w:tc>
          <w:tcPr>
            <w:tcW w:w="2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C5E9E" w:rsidRDefault="006E21DD">
            <w:pPr>
              <w:pStyle w:val="LO-normal"/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SEJUF/GS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C5E9E" w:rsidRDefault="006E21DD">
            <w:pPr>
              <w:pStyle w:val="LO-normal"/>
              <w:widowControl w:val="0"/>
              <w:spacing w:line="240" w:lineRule="auto"/>
              <w:rPr>
                <w:sz w:val="20"/>
                <w:szCs w:val="20"/>
              </w:rPr>
            </w:pPr>
            <w:bookmarkStart w:id="0" w:name="_heading=h.3nldfhp4u0qi" w:colFirst="0" w:colLast="0"/>
            <w:bookmarkEnd w:id="0"/>
            <w:r>
              <w:rPr>
                <w:sz w:val="20"/>
                <w:szCs w:val="20"/>
              </w:rPr>
              <w:t>28/07</w:t>
            </w:r>
          </w:p>
        </w:tc>
      </w:tr>
      <w:tr w:rsidR="009C5E9E">
        <w:trPr>
          <w:cantSplit/>
          <w:trHeight w:val="400"/>
          <w:tblHeader/>
        </w:trPr>
        <w:tc>
          <w:tcPr>
            <w:tcW w:w="20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C5E9E" w:rsidRDefault="009C5E9E">
            <w:pPr>
              <w:pStyle w:val="LO-normal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2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C5E9E" w:rsidRDefault="009C5E9E">
            <w:pPr>
              <w:pStyle w:val="LO-normal"/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69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C5E9E" w:rsidRDefault="009C5E9E">
            <w:pPr>
              <w:pStyle w:val="LO-normal"/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C5E9E" w:rsidRDefault="006E21DD">
            <w:pPr>
              <w:pStyle w:val="LO-normal"/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Aly Muritiba;</w:t>
            </w:r>
          </w:p>
          <w:p w:rsidR="009C5E9E" w:rsidRDefault="006E21DD">
            <w:pPr>
              <w:pStyle w:val="LO-normal"/>
              <w:widowControl w:val="0"/>
              <w:spacing w:line="240" w:lineRule="auto"/>
              <w:rPr>
                <w:sz w:val="20"/>
                <w:szCs w:val="20"/>
              </w:rPr>
            </w:pPr>
            <w:bookmarkStart w:id="1" w:name="_heading=h.ksxi0x1c9nle" w:colFirst="0" w:colLast="0"/>
            <w:bookmarkEnd w:id="1"/>
            <w:r>
              <w:rPr>
                <w:sz w:val="20"/>
                <w:szCs w:val="20"/>
              </w:rPr>
              <w:t>- Vânia Mara Welte.</w:t>
            </w:r>
          </w:p>
        </w:tc>
        <w:tc>
          <w:tcPr>
            <w:tcW w:w="2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C5E9E" w:rsidRDefault="006E21DD">
            <w:pPr>
              <w:pStyle w:val="LO-normal"/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SEJUF/GS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C5E9E" w:rsidRDefault="006E21DD">
            <w:pPr>
              <w:pStyle w:val="LO-normal"/>
              <w:widowControl w:val="0"/>
              <w:spacing w:line="240" w:lineRule="auto"/>
              <w:rPr>
                <w:sz w:val="20"/>
                <w:szCs w:val="20"/>
              </w:rPr>
            </w:pPr>
            <w:bookmarkStart w:id="2" w:name="_heading=h.4bzp46gn7mce" w:colFirst="0" w:colLast="0"/>
            <w:bookmarkEnd w:id="2"/>
            <w:r>
              <w:rPr>
                <w:sz w:val="20"/>
                <w:szCs w:val="20"/>
              </w:rPr>
              <w:t>04/08</w:t>
            </w:r>
          </w:p>
        </w:tc>
      </w:tr>
      <w:tr w:rsidR="009C5E9E">
        <w:trPr>
          <w:cantSplit/>
          <w:trHeight w:val="400"/>
          <w:tblHeader/>
        </w:trPr>
        <w:tc>
          <w:tcPr>
            <w:tcW w:w="2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C5E9E" w:rsidRDefault="006E21DD">
            <w:pPr>
              <w:pStyle w:val="LO-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Eixo de atualização de informações sobre o Caso Evandro</w:t>
            </w: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C5E9E" w:rsidRDefault="009C5E9E">
            <w:pPr>
              <w:pStyle w:val="LO-normal"/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C5E9E" w:rsidRDefault="006E21DD">
            <w:pPr>
              <w:pStyle w:val="LO-normal"/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SESP</w:t>
            </w:r>
          </w:p>
          <w:p w:rsidR="009C5E9E" w:rsidRDefault="006E21DD">
            <w:pPr>
              <w:pStyle w:val="LO-normal"/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MPPR</w:t>
            </w:r>
          </w:p>
          <w:p w:rsidR="009C5E9E" w:rsidRDefault="006E21DD">
            <w:pPr>
              <w:pStyle w:val="LO-normal"/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OAB PR</w:t>
            </w:r>
          </w:p>
        </w:tc>
        <w:tc>
          <w:tcPr>
            <w:tcW w:w="3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C5E9E" w:rsidRDefault="006E21DD">
            <w:pPr>
              <w:pStyle w:val="LO-normal"/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GT solicitar oficialmente a atuação às instituições competentes e representantes legais das vítimas do Caso</w:t>
            </w:r>
          </w:p>
        </w:tc>
        <w:tc>
          <w:tcPr>
            <w:tcW w:w="2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C5E9E" w:rsidRDefault="006E21DD">
            <w:pPr>
              <w:pStyle w:val="LO-normal"/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SESP</w:t>
            </w:r>
          </w:p>
          <w:p w:rsidR="009C5E9E" w:rsidRDefault="006E21DD">
            <w:pPr>
              <w:pStyle w:val="LO-normal"/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MPPR</w:t>
            </w:r>
          </w:p>
          <w:p w:rsidR="009C5E9E" w:rsidRDefault="006E21DD">
            <w:pPr>
              <w:pStyle w:val="LO-normal"/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OAB PR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C5E9E" w:rsidRDefault="006E21DD">
            <w:pPr>
              <w:pStyle w:val="LO-normal"/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Permanente</w:t>
            </w:r>
          </w:p>
        </w:tc>
      </w:tr>
      <w:tr w:rsidR="009C5E9E">
        <w:trPr>
          <w:cantSplit/>
          <w:trHeight w:val="675"/>
          <w:tblHeader/>
        </w:trPr>
        <w:tc>
          <w:tcPr>
            <w:tcW w:w="20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C5E9E" w:rsidRDefault="006E21DD">
            <w:pPr>
              <w:pStyle w:val="LO-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Eixo Jurídico Processual</w:t>
            </w:r>
          </w:p>
        </w:tc>
        <w:tc>
          <w:tcPr>
            <w:tcW w:w="22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C5E9E" w:rsidRDefault="006E21DD">
            <w:pPr>
              <w:pStyle w:val="LO-normal"/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Processo Judicial;</w:t>
            </w:r>
          </w:p>
          <w:p w:rsidR="009C5E9E" w:rsidRDefault="006E21DD">
            <w:pPr>
              <w:pStyle w:val="LO-normal"/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Procedimentos policiais;</w:t>
            </w:r>
          </w:p>
          <w:p w:rsidR="009C5E9E" w:rsidRDefault="006E21DD">
            <w:pPr>
              <w:pStyle w:val="LO-normal"/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Procedimentos periciais;</w:t>
            </w:r>
          </w:p>
        </w:tc>
        <w:tc>
          <w:tcPr>
            <w:tcW w:w="169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C5E9E" w:rsidRDefault="006E21DD">
            <w:pPr>
              <w:pStyle w:val="LO-normal"/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MPPR</w:t>
            </w:r>
          </w:p>
          <w:p w:rsidR="009C5E9E" w:rsidRDefault="006E21DD">
            <w:pPr>
              <w:pStyle w:val="LO-normal"/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DPPR</w:t>
            </w:r>
          </w:p>
          <w:p w:rsidR="009C5E9E" w:rsidRDefault="006E21DD">
            <w:pPr>
              <w:pStyle w:val="LO-normal"/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OAB PR</w:t>
            </w:r>
          </w:p>
          <w:p w:rsidR="009C5E9E" w:rsidRDefault="006E21DD">
            <w:pPr>
              <w:pStyle w:val="LO-normal"/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SESP</w:t>
            </w:r>
          </w:p>
        </w:tc>
        <w:tc>
          <w:tcPr>
            <w:tcW w:w="3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C5E9E" w:rsidRDefault="006E21DD">
            <w:pPr>
              <w:pStyle w:val="LO-normal"/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Advogado Antonio Figueiredo Basto;</w:t>
            </w:r>
          </w:p>
          <w:p w:rsidR="009C5E9E" w:rsidRDefault="006E21DD">
            <w:pPr>
              <w:pStyle w:val="LO-normal"/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Advogado Haroldo Nater;</w:t>
            </w:r>
          </w:p>
        </w:tc>
        <w:tc>
          <w:tcPr>
            <w:tcW w:w="2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C5E9E" w:rsidRDefault="006E21DD">
            <w:pPr>
              <w:pStyle w:val="LO-normal"/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OAB PR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C5E9E" w:rsidRDefault="006E21DD">
            <w:pPr>
              <w:pStyle w:val="LO-normal"/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11/08</w:t>
            </w:r>
          </w:p>
        </w:tc>
      </w:tr>
      <w:tr w:rsidR="009C5E9E">
        <w:trPr>
          <w:cantSplit/>
          <w:trHeight w:val="400"/>
          <w:tblHeader/>
        </w:trPr>
        <w:tc>
          <w:tcPr>
            <w:tcW w:w="20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C5E9E" w:rsidRDefault="009C5E9E">
            <w:pPr>
              <w:pStyle w:val="LO-normal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2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C5E9E" w:rsidRDefault="009C5E9E">
            <w:pPr>
              <w:pStyle w:val="LO-normal"/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69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C5E9E" w:rsidRDefault="009C5E9E">
            <w:pPr>
              <w:pStyle w:val="LO-normal"/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C5E9E" w:rsidRDefault="006E21DD">
            <w:pPr>
              <w:pStyle w:val="LO-normal"/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Delegado José Maria de Paula Correia;</w:t>
            </w:r>
          </w:p>
          <w:p w:rsidR="009C5E9E" w:rsidRDefault="006E21DD">
            <w:pPr>
              <w:pStyle w:val="LO-normal"/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Delegado Luiz Carlos de Oliveira;</w:t>
            </w:r>
          </w:p>
          <w:p w:rsidR="009C5E9E" w:rsidRDefault="006E21DD">
            <w:pPr>
              <w:pStyle w:val="LO-normal"/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Delegado João Ricardo Kepes Noronha;</w:t>
            </w:r>
          </w:p>
        </w:tc>
        <w:tc>
          <w:tcPr>
            <w:tcW w:w="2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C5E9E" w:rsidRDefault="006E21DD">
            <w:pPr>
              <w:pStyle w:val="LO-normal"/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SESP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C5E9E" w:rsidRDefault="006E21DD">
            <w:pPr>
              <w:pStyle w:val="LO-normal"/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18/08</w:t>
            </w:r>
          </w:p>
        </w:tc>
      </w:tr>
      <w:tr w:rsidR="009C5E9E">
        <w:trPr>
          <w:cantSplit/>
          <w:trHeight w:val="400"/>
          <w:tblHeader/>
        </w:trPr>
        <w:tc>
          <w:tcPr>
            <w:tcW w:w="20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C5E9E" w:rsidRDefault="009C5E9E">
            <w:pPr>
              <w:pStyle w:val="LO-normal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2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C5E9E" w:rsidRDefault="009C5E9E">
            <w:pPr>
              <w:pStyle w:val="LO-normal"/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69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C5E9E" w:rsidRDefault="009C5E9E">
            <w:pPr>
              <w:pStyle w:val="LO-normal"/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C5E9E" w:rsidRDefault="006E21DD">
            <w:pPr>
              <w:pStyle w:val="LO-normal"/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Diretor Luiz Grochocki;</w:t>
            </w:r>
          </w:p>
          <w:p w:rsidR="009C5E9E" w:rsidRDefault="006E21DD">
            <w:pPr>
              <w:pStyle w:val="LO-normal"/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Delegada Patrícia Nobre;</w:t>
            </w:r>
          </w:p>
        </w:tc>
        <w:tc>
          <w:tcPr>
            <w:tcW w:w="2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C5E9E" w:rsidRDefault="006E21DD">
            <w:pPr>
              <w:pStyle w:val="LO-normal"/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SESP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C5E9E" w:rsidRDefault="006E21DD">
            <w:pPr>
              <w:pStyle w:val="LO-normal"/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25/08</w:t>
            </w:r>
          </w:p>
        </w:tc>
      </w:tr>
      <w:tr w:rsidR="009C5E9E">
        <w:trPr>
          <w:cantSplit/>
          <w:trHeight w:val="400"/>
          <w:tblHeader/>
        </w:trPr>
        <w:tc>
          <w:tcPr>
            <w:tcW w:w="20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C5E9E" w:rsidRDefault="009C5E9E">
            <w:pPr>
              <w:pStyle w:val="LO-normal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2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C5E9E" w:rsidRDefault="009C5E9E">
            <w:pPr>
              <w:pStyle w:val="LO-normal"/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69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C5E9E" w:rsidRDefault="009C5E9E">
            <w:pPr>
              <w:pStyle w:val="LO-normal"/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C5E9E" w:rsidRDefault="006E21DD">
            <w:pPr>
              <w:pStyle w:val="LO-normal"/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Representação do Ministério Público;</w:t>
            </w:r>
          </w:p>
        </w:tc>
        <w:tc>
          <w:tcPr>
            <w:tcW w:w="2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C5E9E" w:rsidRDefault="006E21DD">
            <w:pPr>
              <w:pStyle w:val="LO-normal"/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MPPR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C5E9E" w:rsidRDefault="006E21DD">
            <w:pPr>
              <w:pStyle w:val="LO-normal"/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01/09</w:t>
            </w:r>
          </w:p>
        </w:tc>
      </w:tr>
      <w:tr w:rsidR="009C5E9E">
        <w:trPr>
          <w:cantSplit/>
          <w:tblHeader/>
        </w:trPr>
        <w:tc>
          <w:tcPr>
            <w:tcW w:w="20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C5E9E" w:rsidRDefault="006E21DD">
            <w:pPr>
              <w:pStyle w:val="LO-normal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Violações de Direitos Humanos</w:t>
            </w:r>
          </w:p>
        </w:tc>
        <w:tc>
          <w:tcPr>
            <w:tcW w:w="22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C5E9E" w:rsidRDefault="006E21DD">
            <w:pPr>
              <w:pStyle w:val="LO-normal"/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Desaparecimento de pessoas;</w:t>
            </w:r>
          </w:p>
          <w:p w:rsidR="009C5E9E" w:rsidRDefault="006E21DD">
            <w:pPr>
              <w:pStyle w:val="LO-normal"/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Liberdade religiosa;</w:t>
            </w:r>
          </w:p>
          <w:p w:rsidR="009C5E9E" w:rsidRDefault="006E21DD">
            <w:pPr>
              <w:pStyle w:val="LO-normal"/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Tortura;</w:t>
            </w:r>
          </w:p>
          <w:p w:rsidR="009C5E9E" w:rsidRDefault="006E21DD">
            <w:pPr>
              <w:pStyle w:val="LO-normal"/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Vítimas e familiares</w:t>
            </w:r>
          </w:p>
        </w:tc>
        <w:tc>
          <w:tcPr>
            <w:tcW w:w="169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C5E9E" w:rsidRDefault="006E21DD">
            <w:pPr>
              <w:pStyle w:val="LO-normal"/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COPED</w:t>
            </w:r>
          </w:p>
          <w:p w:rsidR="009C5E9E" w:rsidRDefault="006E21DD">
            <w:pPr>
              <w:pStyle w:val="LO-normal"/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CONSEPIR</w:t>
            </w:r>
          </w:p>
          <w:p w:rsidR="009C5E9E" w:rsidRDefault="006E21DD">
            <w:pPr>
              <w:pStyle w:val="LO-normal"/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CEDCA</w:t>
            </w:r>
          </w:p>
          <w:p w:rsidR="009C5E9E" w:rsidRDefault="006E21DD">
            <w:pPr>
              <w:pStyle w:val="LO-normal"/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DEDIF</w:t>
            </w:r>
          </w:p>
          <w:p w:rsidR="009C5E9E" w:rsidRDefault="006E21DD">
            <w:pPr>
              <w:pStyle w:val="LO-normal"/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DPCA</w:t>
            </w:r>
          </w:p>
          <w:p w:rsidR="009C5E9E" w:rsidRDefault="006E21DD">
            <w:pPr>
              <w:pStyle w:val="LO-normal"/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DEJU</w:t>
            </w:r>
          </w:p>
        </w:tc>
        <w:tc>
          <w:tcPr>
            <w:tcW w:w="3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C5E9E" w:rsidRDefault="006E21DD">
            <w:pPr>
              <w:pStyle w:val="LO-normal"/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Familiares de pessoas desaparecidas no Caso Evandro</w:t>
            </w:r>
            <w:r>
              <w:rPr>
                <w:sz w:val="20"/>
                <w:szCs w:val="20"/>
                <w:vertAlign w:val="superscript"/>
              </w:rPr>
              <w:footnoteReference w:id="2"/>
            </w:r>
            <w:r>
              <w:rPr>
                <w:sz w:val="20"/>
                <w:szCs w:val="20"/>
              </w:rPr>
              <w:t>;</w:t>
            </w:r>
          </w:p>
          <w:p w:rsidR="009C5E9E" w:rsidRDefault="006E21DD">
            <w:pPr>
              <w:pStyle w:val="LO-normal"/>
              <w:widowControl w:val="0"/>
              <w:spacing w:line="240" w:lineRule="auto"/>
              <w:rPr>
                <w:sz w:val="20"/>
                <w:szCs w:val="20"/>
              </w:rPr>
            </w:pPr>
            <w:bookmarkStart w:id="3" w:name="_heading=h.gjdgxs" w:colFirst="0" w:colLast="0"/>
            <w:bookmarkEnd w:id="3"/>
            <w:r>
              <w:rPr>
                <w:sz w:val="20"/>
                <w:szCs w:val="20"/>
              </w:rPr>
              <w:t>- Associação de familiares de pessoas desaparecidas;</w:t>
            </w:r>
          </w:p>
        </w:tc>
        <w:tc>
          <w:tcPr>
            <w:tcW w:w="2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C5E9E" w:rsidRDefault="006E21DD">
            <w:pPr>
              <w:pStyle w:val="LO-normal"/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SEJUF/DEDIF e DPCA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C5E9E" w:rsidRDefault="006E21DD">
            <w:pPr>
              <w:pStyle w:val="LO-normal"/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08/09</w:t>
            </w:r>
          </w:p>
        </w:tc>
      </w:tr>
      <w:tr w:rsidR="009C5E9E">
        <w:trPr>
          <w:cantSplit/>
          <w:tblHeader/>
        </w:trPr>
        <w:tc>
          <w:tcPr>
            <w:tcW w:w="20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C5E9E" w:rsidRDefault="009C5E9E">
            <w:pPr>
              <w:pStyle w:val="LO-normal"/>
              <w:rPr>
                <w:sz w:val="20"/>
                <w:szCs w:val="20"/>
              </w:rPr>
            </w:pPr>
          </w:p>
        </w:tc>
        <w:tc>
          <w:tcPr>
            <w:tcW w:w="22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C5E9E" w:rsidRDefault="009C5E9E">
            <w:pPr>
              <w:pStyle w:val="LO-normal"/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69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C5E9E" w:rsidRDefault="009C5E9E">
            <w:pPr>
              <w:pStyle w:val="LO-normal"/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C5E9E" w:rsidRDefault="006E21DD">
            <w:pPr>
              <w:pStyle w:val="LO-normal"/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Isabel Kugler Mendes;</w:t>
            </w:r>
          </w:p>
        </w:tc>
        <w:tc>
          <w:tcPr>
            <w:tcW w:w="2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C5E9E" w:rsidRDefault="006E21DD">
            <w:pPr>
              <w:pStyle w:val="LO-normal"/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OAB PR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C5E9E" w:rsidRDefault="006E21DD">
            <w:pPr>
              <w:pStyle w:val="LO-normal"/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15/09</w:t>
            </w:r>
          </w:p>
        </w:tc>
      </w:tr>
      <w:tr w:rsidR="009C5E9E">
        <w:trPr>
          <w:cantSplit/>
          <w:tblHeader/>
        </w:trPr>
        <w:tc>
          <w:tcPr>
            <w:tcW w:w="20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C5E9E" w:rsidRDefault="009C5E9E">
            <w:pPr>
              <w:pStyle w:val="LO-normal"/>
              <w:rPr>
                <w:sz w:val="20"/>
                <w:szCs w:val="20"/>
              </w:rPr>
            </w:pPr>
          </w:p>
        </w:tc>
        <w:tc>
          <w:tcPr>
            <w:tcW w:w="22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C5E9E" w:rsidRDefault="009C5E9E">
            <w:pPr>
              <w:pStyle w:val="LO-normal"/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69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C5E9E" w:rsidRDefault="009C5E9E">
            <w:pPr>
              <w:pStyle w:val="LO-normal"/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C5E9E" w:rsidRDefault="006E21DD">
            <w:pPr>
              <w:pStyle w:val="LO-normal"/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Vítimas e familiares de pessoas que supostamente sofreram tortura no Caso Evandro</w:t>
            </w:r>
            <w:r>
              <w:rPr>
                <w:sz w:val="20"/>
                <w:szCs w:val="20"/>
                <w:vertAlign w:val="superscript"/>
              </w:rPr>
              <w:footnoteReference w:id="3"/>
            </w:r>
            <w:r>
              <w:rPr>
                <w:sz w:val="20"/>
                <w:szCs w:val="20"/>
              </w:rPr>
              <w:t>;</w:t>
            </w:r>
          </w:p>
        </w:tc>
        <w:tc>
          <w:tcPr>
            <w:tcW w:w="2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C5E9E" w:rsidRDefault="006E21DD">
            <w:pPr>
              <w:pStyle w:val="LO-normal"/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SEJUF/DEJU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C5E9E" w:rsidRDefault="006E21DD">
            <w:pPr>
              <w:pStyle w:val="LO-normal"/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22/09</w:t>
            </w:r>
          </w:p>
        </w:tc>
      </w:tr>
      <w:tr w:rsidR="009C5E9E">
        <w:trPr>
          <w:cantSplit/>
          <w:tblHeader/>
        </w:trPr>
        <w:tc>
          <w:tcPr>
            <w:tcW w:w="20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C5E9E" w:rsidRDefault="009C5E9E">
            <w:pPr>
              <w:pStyle w:val="LO-normal"/>
              <w:rPr>
                <w:sz w:val="20"/>
                <w:szCs w:val="20"/>
              </w:rPr>
            </w:pPr>
          </w:p>
        </w:tc>
        <w:tc>
          <w:tcPr>
            <w:tcW w:w="22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C5E9E" w:rsidRDefault="009C5E9E">
            <w:pPr>
              <w:pStyle w:val="LO-normal"/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69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C5E9E" w:rsidRDefault="009C5E9E">
            <w:pPr>
              <w:pStyle w:val="LO-normal"/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C5E9E" w:rsidRDefault="006E21DD">
            <w:pPr>
              <w:pStyle w:val="LO-normal"/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Dom Pedro Fedalto;</w:t>
            </w:r>
          </w:p>
          <w:p w:rsidR="009C5E9E" w:rsidRDefault="006E21DD">
            <w:pPr>
              <w:pStyle w:val="LO-normal"/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Representante das religiões de matrizes africanas.</w:t>
            </w:r>
          </w:p>
        </w:tc>
        <w:tc>
          <w:tcPr>
            <w:tcW w:w="2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C5E9E" w:rsidRDefault="009C5E9E">
            <w:pPr>
              <w:pStyle w:val="LO-normal"/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C5E9E" w:rsidRDefault="006E21DD">
            <w:pPr>
              <w:pStyle w:val="LO-normal"/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29/09</w:t>
            </w:r>
          </w:p>
        </w:tc>
      </w:tr>
    </w:tbl>
    <w:p w:rsidR="009C5E9E" w:rsidRDefault="009C5E9E">
      <w:pPr>
        <w:pStyle w:val="LO-normal"/>
        <w:jc w:val="both"/>
      </w:pPr>
    </w:p>
    <w:p w:rsidR="009C5E9E" w:rsidRDefault="006E21DD">
      <w:pPr>
        <w:pStyle w:val="LO-normal"/>
        <w:jc w:val="both"/>
      </w:pPr>
      <w:r>
        <w:t xml:space="preserve">Outros eixos, subeixos, integrantes e </w:t>
      </w:r>
      <w:proofErr w:type="gramStart"/>
      <w:r>
        <w:t>convidados(</w:t>
      </w:r>
      <w:proofErr w:type="gramEnd"/>
      <w:r>
        <w:t>as) poderão ser incluídos(as) durante o desenvolvimento das atividades.</w:t>
      </w:r>
    </w:p>
    <w:p w:rsidR="009C5E9E" w:rsidRDefault="009C5E9E">
      <w:pPr>
        <w:pStyle w:val="LO-normal"/>
        <w:jc w:val="center"/>
      </w:pPr>
    </w:p>
    <w:p w:rsidR="009C5E9E" w:rsidRDefault="009C5E9E">
      <w:pPr>
        <w:pStyle w:val="LO-normal"/>
        <w:rPr>
          <w:b/>
        </w:rPr>
        <w:sectPr w:rsidR="009C5E9E">
          <w:pgSz w:w="16838" w:h="11906" w:orient="landscape"/>
          <w:pgMar w:top="1440" w:right="1440" w:bottom="1440" w:left="1440" w:header="720" w:footer="720" w:gutter="0"/>
          <w:cols w:space="720"/>
        </w:sectPr>
      </w:pPr>
    </w:p>
    <w:p w:rsidR="009C5E9E" w:rsidRDefault="006E21DD">
      <w:pPr>
        <w:pStyle w:val="LO-normal"/>
        <w:rPr>
          <w:b/>
        </w:rPr>
      </w:pPr>
      <w:r>
        <w:rPr>
          <w:b/>
        </w:rPr>
        <w:lastRenderedPageBreak/>
        <w:t>7 CRONOGRAMA</w:t>
      </w:r>
    </w:p>
    <w:p w:rsidR="009C5E9E" w:rsidRDefault="009C5E9E">
      <w:pPr>
        <w:pStyle w:val="LO-normal"/>
        <w:jc w:val="both"/>
      </w:pPr>
    </w:p>
    <w:tbl>
      <w:tblPr>
        <w:tblStyle w:val="a0"/>
        <w:tblW w:w="9028" w:type="dxa"/>
        <w:tblInd w:w="0" w:type="dxa"/>
        <w:tblLayout w:type="fixed"/>
        <w:tblLook w:val="0600"/>
      </w:tblPr>
      <w:tblGrid>
        <w:gridCol w:w="3028"/>
        <w:gridCol w:w="4047"/>
        <w:gridCol w:w="1953"/>
      </w:tblGrid>
      <w:tr w:rsidR="009C5E9E">
        <w:trPr>
          <w:cantSplit/>
          <w:tblHeader/>
        </w:trPr>
        <w:tc>
          <w:tcPr>
            <w:tcW w:w="3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C5E9E" w:rsidRDefault="006E21DD">
            <w:pPr>
              <w:pStyle w:val="LO-normal"/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META</w:t>
            </w:r>
          </w:p>
        </w:tc>
        <w:tc>
          <w:tcPr>
            <w:tcW w:w="4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C5E9E" w:rsidRDefault="006E21DD">
            <w:pPr>
              <w:pStyle w:val="LO-normal"/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AÇÃO</w:t>
            </w:r>
          </w:p>
        </w:tc>
        <w:tc>
          <w:tcPr>
            <w:tcW w:w="1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C5E9E" w:rsidRDefault="006E21DD">
            <w:pPr>
              <w:pStyle w:val="LO-normal"/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PRAZO</w:t>
            </w:r>
          </w:p>
        </w:tc>
      </w:tr>
      <w:tr w:rsidR="009C5E9E">
        <w:trPr>
          <w:cantSplit/>
          <w:tblHeader/>
        </w:trPr>
        <w:tc>
          <w:tcPr>
            <w:tcW w:w="3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C5E9E" w:rsidRDefault="006E21DD">
            <w:pPr>
              <w:pStyle w:val="LO-normal"/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Institucionalização do Grupo de Trabalho</w:t>
            </w:r>
          </w:p>
        </w:tc>
        <w:tc>
          <w:tcPr>
            <w:tcW w:w="4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C5E9E" w:rsidRDefault="006E21DD">
            <w:pPr>
              <w:pStyle w:val="LO-normal"/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 Publicação de Resolução de criação;</w:t>
            </w:r>
          </w:p>
          <w:p w:rsidR="009C5E9E" w:rsidRDefault="006E21DD">
            <w:pPr>
              <w:pStyle w:val="LO-normal"/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 Realização de reunião de alinhamento;</w:t>
            </w:r>
          </w:p>
          <w:p w:rsidR="009C5E9E" w:rsidRDefault="006E21DD">
            <w:pPr>
              <w:pStyle w:val="LO-normal"/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 Envio de ofícios de convites para membros e pessoas para relato espontâneo;</w:t>
            </w:r>
          </w:p>
          <w:p w:rsidR="009C5E9E" w:rsidRDefault="006E21DD">
            <w:pPr>
              <w:pStyle w:val="LO-normal"/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 Publicação de Resolução de nomeação de membros.</w:t>
            </w:r>
          </w:p>
        </w:tc>
        <w:tc>
          <w:tcPr>
            <w:tcW w:w="1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C5E9E" w:rsidRDefault="006E21DD">
            <w:pPr>
              <w:pStyle w:val="LO-normal"/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Julho</w:t>
            </w:r>
          </w:p>
        </w:tc>
      </w:tr>
      <w:tr w:rsidR="009C5E9E">
        <w:trPr>
          <w:cantSplit/>
          <w:tblHeader/>
        </w:trPr>
        <w:tc>
          <w:tcPr>
            <w:tcW w:w="3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C5E9E" w:rsidRDefault="006E21DD">
            <w:pPr>
              <w:pStyle w:val="LO-normal"/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Analisar o Caso Evandro para identificar possíveis violações de direitos</w:t>
            </w:r>
            <w:r>
              <w:rPr>
                <w:sz w:val="20"/>
                <w:szCs w:val="20"/>
              </w:rPr>
              <w:t xml:space="preserve"> humanos </w:t>
            </w:r>
          </w:p>
        </w:tc>
        <w:tc>
          <w:tcPr>
            <w:tcW w:w="4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C5E9E" w:rsidRDefault="006E21DD">
            <w:pPr>
              <w:pStyle w:val="LO-normal"/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 Definição de plano de trabalho;</w:t>
            </w:r>
          </w:p>
          <w:p w:rsidR="009C5E9E" w:rsidRDefault="006E21DD">
            <w:pPr>
              <w:pStyle w:val="LO-normal"/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 Escuta de relatos voluntários de pessoas envolvidas no caso e de representantes de órgãos públicos afetos;</w:t>
            </w:r>
          </w:p>
          <w:p w:rsidR="009C5E9E" w:rsidRDefault="006E21DD">
            <w:pPr>
              <w:pStyle w:val="LO-normal"/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 Aprovação de encaminhamentos;</w:t>
            </w:r>
          </w:p>
          <w:p w:rsidR="009C5E9E" w:rsidRDefault="006E21DD">
            <w:pPr>
              <w:pStyle w:val="LO-normal"/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2.4 Produção de registros de trabalho do GT.</w:t>
            </w:r>
          </w:p>
          <w:p w:rsidR="009C5E9E" w:rsidRDefault="009C5E9E">
            <w:pPr>
              <w:pStyle w:val="LO-normal"/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C5E9E" w:rsidRDefault="006E21DD">
            <w:pPr>
              <w:pStyle w:val="LO-normal"/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 Julho a Setembro</w:t>
            </w:r>
          </w:p>
        </w:tc>
      </w:tr>
      <w:tr w:rsidR="009C5E9E">
        <w:trPr>
          <w:cantSplit/>
          <w:tblHeader/>
        </w:trPr>
        <w:tc>
          <w:tcPr>
            <w:tcW w:w="3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C5E9E" w:rsidRDefault="006E21DD">
            <w:pPr>
              <w:pStyle w:val="LO-normal"/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Elaboração e apresentação do Relatório </w:t>
            </w:r>
          </w:p>
        </w:tc>
        <w:tc>
          <w:tcPr>
            <w:tcW w:w="4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C5E9E" w:rsidRDefault="006E21DD">
            <w:pPr>
              <w:pStyle w:val="LO-normal"/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 Elaboração, pelos eixos, de relato das atividades desenvolvidas e sugestões;</w:t>
            </w:r>
          </w:p>
          <w:p w:rsidR="009C5E9E" w:rsidRDefault="006E21DD">
            <w:pPr>
              <w:pStyle w:val="LO-normal"/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 Formatação do Relatório final;</w:t>
            </w:r>
          </w:p>
          <w:p w:rsidR="009C5E9E" w:rsidRDefault="006E21DD">
            <w:pPr>
              <w:pStyle w:val="LO-normal"/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3.3 Publicação </w:t>
            </w:r>
            <w:proofErr w:type="gramStart"/>
            <w:r>
              <w:rPr>
                <w:sz w:val="20"/>
                <w:szCs w:val="20"/>
              </w:rPr>
              <w:t>do</w:t>
            </w:r>
            <w:proofErr w:type="gramEnd"/>
            <w:r>
              <w:rPr>
                <w:sz w:val="20"/>
                <w:szCs w:val="20"/>
              </w:rPr>
              <w:t xml:space="preserve"> Relatório e criação de repositório online para acesso a documentos.</w:t>
            </w:r>
          </w:p>
        </w:tc>
        <w:tc>
          <w:tcPr>
            <w:tcW w:w="1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C5E9E" w:rsidRDefault="006E21DD">
            <w:pPr>
              <w:pStyle w:val="LO-normal"/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Outubro</w:t>
            </w:r>
          </w:p>
        </w:tc>
      </w:tr>
    </w:tbl>
    <w:p w:rsidR="009C5E9E" w:rsidRDefault="009C5E9E">
      <w:pPr>
        <w:pStyle w:val="LO-normal"/>
        <w:jc w:val="both"/>
      </w:pPr>
    </w:p>
    <w:sectPr w:rsidR="009C5E9E" w:rsidSect="009C5E9E">
      <w:pgSz w:w="11906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5E9E" w:rsidRDefault="009C5E9E" w:rsidP="009C5E9E">
      <w:pPr>
        <w:spacing w:line="240" w:lineRule="auto"/>
      </w:pPr>
      <w:r>
        <w:separator/>
      </w:r>
    </w:p>
  </w:endnote>
  <w:endnote w:type="continuationSeparator" w:id="1">
    <w:p w:rsidR="009C5E9E" w:rsidRDefault="009C5E9E" w:rsidP="009C5E9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5E9E" w:rsidRDefault="006E21DD">
    <w:pPr>
      <w:pStyle w:val="LO-normal"/>
      <w:tabs>
        <w:tab w:val="center" w:pos="4320"/>
        <w:tab w:val="right" w:pos="8640"/>
      </w:tabs>
      <w:spacing w:line="240" w:lineRule="auto"/>
    </w:pPr>
    <w:r>
      <w:rPr>
        <w:noProof/>
        <w:lang w:val="pt-BR" w:eastAsia="pt-BR" w:bidi="ar-SA"/>
      </w:rPr>
      <w:drawing>
        <wp:inline distT="0" distB="0" distL="0" distR="0">
          <wp:extent cx="5731510" cy="317500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31510" cy="317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9C5E9E" w:rsidRDefault="009C5E9E">
    <w:pPr>
      <w:pStyle w:val="LO-normal"/>
      <w:tabs>
        <w:tab w:val="center" w:pos="4320"/>
        <w:tab w:val="right" w:pos="8640"/>
      </w:tabs>
      <w:spacing w:line="240" w:lineRule="auto"/>
      <w:jc w:val="right"/>
    </w:pPr>
    <w:r>
      <w:fldChar w:fldCharType="begin"/>
    </w:r>
    <w:r w:rsidR="006E21DD">
      <w:instrText>PAGE</w:instrText>
    </w:r>
    <w:r w:rsidR="006E21DD">
      <w:fldChar w:fldCharType="separate"/>
    </w:r>
    <w:r w:rsidR="006E21DD">
      <w:rPr>
        <w:noProof/>
      </w:rPr>
      <w:t>9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5E9E" w:rsidRDefault="009C5E9E" w:rsidP="009C5E9E">
      <w:pPr>
        <w:spacing w:line="240" w:lineRule="auto"/>
      </w:pPr>
      <w:r>
        <w:separator/>
      </w:r>
    </w:p>
  </w:footnote>
  <w:footnote w:type="continuationSeparator" w:id="1">
    <w:p w:rsidR="009C5E9E" w:rsidRDefault="009C5E9E" w:rsidP="009C5E9E">
      <w:pPr>
        <w:spacing w:line="240" w:lineRule="auto"/>
      </w:pPr>
      <w:r>
        <w:continuationSeparator/>
      </w:r>
    </w:p>
  </w:footnote>
  <w:footnote w:id="2">
    <w:p w:rsidR="009C5E9E" w:rsidRDefault="006E21DD">
      <w:pPr>
        <w:pStyle w:val="LO-normal"/>
        <w:spacing w:line="240" w:lineRule="auto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Prévio: verificar com Polícia Civil, MPPR e representantes legais sobre se está havendo nova investigação, o que é possível tratar no GT e formas de escuta que não promovam revitimização. Durante: possibilitar a confidencialidade da informação.</w:t>
      </w:r>
    </w:p>
  </w:footnote>
  <w:footnote w:id="3">
    <w:p w:rsidR="009C5E9E" w:rsidRDefault="006E21DD">
      <w:pPr>
        <w:pStyle w:val="LO-normal"/>
        <w:spacing w:line="240" w:lineRule="auto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Prévio</w:t>
      </w:r>
      <w:r>
        <w:rPr>
          <w:sz w:val="20"/>
          <w:szCs w:val="20"/>
        </w:rPr>
        <w:t>: verificar com a Polícia Civil, MPPR e representantes legais sobre existência de investigação, o que é possível tratar no GT e formas de escuta que não promovam revitimização. Durante: possibilitar a confidencialidade da informação.</w:t>
      </w:r>
    </w:p>
    <w:p w:rsidR="009C5E9E" w:rsidRDefault="009C5E9E">
      <w:pPr>
        <w:pStyle w:val="LO-normal"/>
        <w:spacing w:line="240" w:lineRule="auto"/>
        <w:rPr>
          <w:sz w:val="20"/>
          <w:szCs w:val="20"/>
        </w:rPr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5E9E" w:rsidRDefault="006E21DD">
    <w:pPr>
      <w:pStyle w:val="LO-normal"/>
      <w:spacing w:line="240" w:lineRule="auto"/>
      <w:jc w:val="center"/>
      <w:rPr>
        <w:rFonts w:ascii="Cambria" w:eastAsia="Cambria" w:hAnsi="Cambria" w:cs="Cambria"/>
        <w:sz w:val="24"/>
        <w:szCs w:val="24"/>
      </w:rPr>
    </w:pPr>
    <w:r>
      <w:rPr>
        <w:noProof/>
        <w:lang w:val="pt-BR" w:eastAsia="pt-BR" w:bidi="ar-SA"/>
      </w:rPr>
      <w:drawing>
        <wp:inline distT="0" distB="0" distL="0" distR="0">
          <wp:extent cx="2075815" cy="895350"/>
          <wp:effectExtent l="0" t="0" r="0" b="0"/>
          <wp:docPr id="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75815" cy="8953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9C5E9E" w:rsidRDefault="009C5E9E">
    <w:pPr>
      <w:pStyle w:val="LO-normal"/>
      <w:spacing w:line="240" w:lineRule="auto"/>
      <w:jc w:val="center"/>
      <w:rPr>
        <w:rFonts w:ascii="Cambria" w:eastAsia="Cambria" w:hAnsi="Cambria" w:cs="Cambria"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4C5790"/>
    <w:multiLevelType w:val="multilevel"/>
    <w:tmpl w:val="2A3CAB68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>
    <w:nsid w:val="1F7466C4"/>
    <w:multiLevelType w:val="multilevel"/>
    <w:tmpl w:val="873C944C"/>
    <w:lvl w:ilvl="0">
      <w:start w:val="1"/>
      <w:numFmt w:val="upperRoman"/>
      <w:lvlText w:val="%1."/>
      <w:lvlJc w:val="right"/>
      <w:pPr>
        <w:ind w:left="720" w:hanging="360"/>
      </w:pPr>
      <w:rPr>
        <w:rFonts w:ascii="Arial" w:eastAsia="Arial" w:hAnsi="Arial" w:cs="Arial"/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2">
    <w:nsid w:val="4F62179E"/>
    <w:multiLevelType w:val="multilevel"/>
    <w:tmpl w:val="94645A7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nsid w:val="5E743FA2"/>
    <w:multiLevelType w:val="multilevel"/>
    <w:tmpl w:val="EFDA11E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C5E9E"/>
    <w:rsid w:val="006E21DD"/>
    <w:rsid w:val="009C5E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en-US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5E9E"/>
    <w:rPr>
      <w:lang w:eastAsia="zh-CN" w:bidi="hi-IN"/>
    </w:rPr>
  </w:style>
  <w:style w:type="paragraph" w:styleId="Ttulo1">
    <w:name w:val="heading 1"/>
    <w:basedOn w:val="normal0"/>
    <w:next w:val="normal0"/>
    <w:rsid w:val="009C5E9E"/>
    <w:pPr>
      <w:keepNext/>
      <w:keepLines/>
      <w:spacing w:before="400" w:after="120" w:line="240" w:lineRule="auto"/>
      <w:outlineLvl w:val="0"/>
    </w:pPr>
    <w:rPr>
      <w:sz w:val="40"/>
      <w:szCs w:val="40"/>
    </w:rPr>
  </w:style>
  <w:style w:type="paragraph" w:styleId="Ttulo2">
    <w:name w:val="heading 2"/>
    <w:basedOn w:val="normal0"/>
    <w:next w:val="normal0"/>
    <w:rsid w:val="009C5E9E"/>
    <w:pPr>
      <w:keepNext/>
      <w:keepLines/>
      <w:spacing w:before="360" w:after="120" w:line="240" w:lineRule="auto"/>
      <w:outlineLvl w:val="1"/>
    </w:pPr>
    <w:rPr>
      <w:sz w:val="32"/>
      <w:szCs w:val="32"/>
    </w:rPr>
  </w:style>
  <w:style w:type="paragraph" w:styleId="Ttulo3">
    <w:name w:val="heading 3"/>
    <w:basedOn w:val="normal0"/>
    <w:next w:val="normal0"/>
    <w:rsid w:val="009C5E9E"/>
    <w:pPr>
      <w:keepNext/>
      <w:keepLines/>
      <w:spacing w:before="320" w:after="80" w:line="240" w:lineRule="auto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0"/>
    <w:next w:val="normal0"/>
    <w:rsid w:val="009C5E9E"/>
    <w:pPr>
      <w:keepNext/>
      <w:keepLines/>
      <w:spacing w:before="280" w:after="80" w:line="240" w:lineRule="auto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0"/>
    <w:next w:val="normal0"/>
    <w:rsid w:val="009C5E9E"/>
    <w:pPr>
      <w:keepNext/>
      <w:keepLines/>
      <w:spacing w:before="240" w:after="80" w:line="240" w:lineRule="auto"/>
      <w:outlineLvl w:val="4"/>
    </w:pPr>
    <w:rPr>
      <w:color w:val="666666"/>
    </w:rPr>
  </w:style>
  <w:style w:type="paragraph" w:styleId="Ttulo6">
    <w:name w:val="heading 6"/>
    <w:basedOn w:val="normal0"/>
    <w:next w:val="normal0"/>
    <w:rsid w:val="009C5E9E"/>
    <w:pPr>
      <w:keepNext/>
      <w:keepLines/>
      <w:spacing w:before="240" w:after="80" w:line="240" w:lineRule="auto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normal"/>
    <w:rsid w:val="009C5E9E"/>
  </w:style>
  <w:style w:type="table" w:customStyle="1" w:styleId="TableNormal">
    <w:name w:val="Table Normal"/>
    <w:rsid w:val="009C5E9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LO-normal"/>
    <w:next w:val="Corpodetexto"/>
    <w:qFormat/>
    <w:rsid w:val="009C5E9E"/>
    <w:pPr>
      <w:keepNext/>
      <w:keepLines/>
      <w:spacing w:after="60" w:line="240" w:lineRule="auto"/>
    </w:pPr>
    <w:rPr>
      <w:sz w:val="52"/>
      <w:szCs w:val="52"/>
    </w:rPr>
  </w:style>
  <w:style w:type="paragraph" w:customStyle="1" w:styleId="Heading1">
    <w:name w:val="Heading 1"/>
    <w:basedOn w:val="LO-normal"/>
    <w:next w:val="LO-normal"/>
    <w:qFormat/>
    <w:rsid w:val="009C5E9E"/>
    <w:pPr>
      <w:keepNext/>
      <w:keepLines/>
      <w:spacing w:before="400" w:after="120" w:line="240" w:lineRule="auto"/>
    </w:pPr>
    <w:rPr>
      <w:sz w:val="40"/>
      <w:szCs w:val="40"/>
    </w:rPr>
  </w:style>
  <w:style w:type="paragraph" w:customStyle="1" w:styleId="Heading2">
    <w:name w:val="Heading 2"/>
    <w:basedOn w:val="LO-normal"/>
    <w:next w:val="LO-normal"/>
    <w:qFormat/>
    <w:rsid w:val="009C5E9E"/>
    <w:pPr>
      <w:keepNext/>
      <w:keepLines/>
      <w:spacing w:before="360" w:after="120" w:line="240" w:lineRule="auto"/>
    </w:pPr>
    <w:rPr>
      <w:sz w:val="32"/>
      <w:szCs w:val="32"/>
    </w:rPr>
  </w:style>
  <w:style w:type="paragraph" w:customStyle="1" w:styleId="Heading3">
    <w:name w:val="Heading 3"/>
    <w:basedOn w:val="LO-normal"/>
    <w:next w:val="LO-normal"/>
    <w:qFormat/>
    <w:rsid w:val="009C5E9E"/>
    <w:pPr>
      <w:keepNext/>
      <w:keepLines/>
      <w:spacing w:before="320" w:after="80" w:line="240" w:lineRule="auto"/>
    </w:pPr>
    <w:rPr>
      <w:color w:val="434343"/>
      <w:sz w:val="28"/>
      <w:szCs w:val="28"/>
    </w:rPr>
  </w:style>
  <w:style w:type="paragraph" w:customStyle="1" w:styleId="Heading4">
    <w:name w:val="Heading 4"/>
    <w:basedOn w:val="LO-normal"/>
    <w:next w:val="LO-normal"/>
    <w:qFormat/>
    <w:rsid w:val="009C5E9E"/>
    <w:pPr>
      <w:keepNext/>
      <w:keepLines/>
      <w:spacing w:before="280" w:after="80" w:line="240" w:lineRule="auto"/>
    </w:pPr>
    <w:rPr>
      <w:color w:val="666666"/>
      <w:sz w:val="24"/>
      <w:szCs w:val="24"/>
    </w:rPr>
  </w:style>
  <w:style w:type="paragraph" w:customStyle="1" w:styleId="Heading5">
    <w:name w:val="Heading 5"/>
    <w:basedOn w:val="LO-normal"/>
    <w:next w:val="LO-normal"/>
    <w:qFormat/>
    <w:rsid w:val="009C5E9E"/>
    <w:pPr>
      <w:keepNext/>
      <w:keepLines/>
      <w:spacing w:before="240" w:after="80" w:line="240" w:lineRule="auto"/>
    </w:pPr>
    <w:rPr>
      <w:color w:val="666666"/>
    </w:rPr>
  </w:style>
  <w:style w:type="paragraph" w:customStyle="1" w:styleId="Heading6">
    <w:name w:val="Heading 6"/>
    <w:basedOn w:val="LO-normal"/>
    <w:next w:val="LO-normal"/>
    <w:qFormat/>
    <w:rsid w:val="009C5E9E"/>
    <w:pPr>
      <w:keepNext/>
      <w:keepLines/>
      <w:spacing w:before="240" w:after="80" w:line="240" w:lineRule="auto"/>
    </w:pPr>
    <w:rPr>
      <w:i/>
      <w:color w:val="666666"/>
    </w:rPr>
  </w:style>
  <w:style w:type="paragraph" w:styleId="Corpodetexto">
    <w:name w:val="Body Text"/>
    <w:basedOn w:val="Normal"/>
    <w:rsid w:val="009C5E9E"/>
    <w:pPr>
      <w:spacing w:after="140"/>
    </w:pPr>
  </w:style>
  <w:style w:type="paragraph" w:styleId="Lista">
    <w:name w:val="List"/>
    <w:basedOn w:val="Corpodetexto"/>
    <w:rsid w:val="009C5E9E"/>
    <w:rPr>
      <w:rFonts w:cs="Lucida Sans"/>
    </w:rPr>
  </w:style>
  <w:style w:type="paragraph" w:customStyle="1" w:styleId="Caption">
    <w:name w:val="Caption"/>
    <w:basedOn w:val="Normal"/>
    <w:qFormat/>
    <w:rsid w:val="009C5E9E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rsid w:val="009C5E9E"/>
    <w:pPr>
      <w:suppressLineNumbers/>
    </w:pPr>
    <w:rPr>
      <w:rFonts w:cs="Lucida Sans"/>
    </w:rPr>
  </w:style>
  <w:style w:type="paragraph" w:customStyle="1" w:styleId="LO-normal">
    <w:name w:val="LO-normal"/>
    <w:qFormat/>
    <w:rsid w:val="009C5E9E"/>
    <w:rPr>
      <w:lang w:eastAsia="zh-CN" w:bidi="hi-IN"/>
    </w:rPr>
  </w:style>
  <w:style w:type="paragraph" w:styleId="Subttulo">
    <w:name w:val="Subtitle"/>
    <w:basedOn w:val="Normal"/>
    <w:next w:val="Normal"/>
    <w:rsid w:val="009C5E9E"/>
    <w:pPr>
      <w:keepNext/>
      <w:keepLines/>
      <w:spacing w:after="320" w:line="240" w:lineRule="auto"/>
    </w:pPr>
    <w:rPr>
      <w:color w:val="666666"/>
      <w:sz w:val="30"/>
      <w:szCs w:val="30"/>
    </w:rPr>
  </w:style>
  <w:style w:type="paragraph" w:customStyle="1" w:styleId="CabealhoeRodap">
    <w:name w:val="Cabeçalho e Rodapé"/>
    <w:basedOn w:val="Normal"/>
    <w:qFormat/>
    <w:rsid w:val="009C5E9E"/>
  </w:style>
  <w:style w:type="paragraph" w:customStyle="1" w:styleId="Header">
    <w:name w:val="Header"/>
    <w:basedOn w:val="CabealhoeRodap"/>
    <w:rsid w:val="009C5E9E"/>
  </w:style>
  <w:style w:type="paragraph" w:customStyle="1" w:styleId="Footer">
    <w:name w:val="Footer"/>
    <w:basedOn w:val="CabealhoeRodap"/>
    <w:rsid w:val="009C5E9E"/>
  </w:style>
  <w:style w:type="table" w:customStyle="1" w:styleId="TableNormal0">
    <w:name w:val="Table Normal"/>
    <w:rsid w:val="009C5E9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">
    <w:basedOn w:val="TableNormal0"/>
    <w:rsid w:val="009C5E9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0"/>
    <w:rsid w:val="009C5E9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6E21DD"/>
    <w:pPr>
      <w:spacing w:line="240" w:lineRule="auto"/>
    </w:pPr>
    <w:rPr>
      <w:rFonts w:ascii="Tahoma" w:hAnsi="Tahoma" w:cs="Mangal"/>
      <w:sz w:val="16"/>
      <w:szCs w:val="1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E21DD"/>
    <w:rPr>
      <w:rFonts w:ascii="Tahoma" w:hAnsi="Tahoma" w:cs="Mangal"/>
      <w:sz w:val="16"/>
      <w:szCs w:val="1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Kv1ymHYBktRLunGxZ2NNM2HP0RQ==">AMUW2mW2xaA0DbJIukSxgpjn0UbBPLzSTMD2tMkAC9uWjbDJklb1lRd6FVY7XPST0xqMYG/EmtjQfhayxXYOC5ld7BXfQI/JUu6YBUc5d4wAURjA7NLUn/gSosNW4JAhP+rzI5zKQJmv8qgem/CY2Ir2ppxG0XB/1AVKmEbxGrS6GjC4QwhKpldIt6pLaE4A9JjdEaH+JBLgGGoiS3s1RZyGWjUGCojjRcTPyS9Ryl/07j2SVr4LfuQjdtV3xC8CF5dfqfbFc83pytycfj1umeOe1sT6O+fd/qEdgKyGom/GHaJPxGu2Eh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2910</Words>
  <Characters>15714</Characters>
  <Application>Microsoft Office Word</Application>
  <DocSecurity>0</DocSecurity>
  <Lines>130</Lines>
  <Paragraphs>37</Paragraphs>
  <ScaleCrop>false</ScaleCrop>
  <Company/>
  <LinksUpToDate>false</LinksUpToDate>
  <CharactersWithSpaces>18587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Vitoria Costa Naumann</dc:creator>
  <cp:lastModifiedBy>rt.anavitoria</cp:lastModifiedBy>
  <cp:revision>2</cp:revision>
  <dcterms:created xsi:type="dcterms:W3CDTF">2021-12-22T13:45:00Z</dcterms:created>
  <dcterms:modified xsi:type="dcterms:W3CDTF">2021-12-22T13:45:00Z</dcterms:modified>
</cp:coreProperties>
</file>