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260" w:rsidRDefault="00C31C0A">
      <w:pPr>
        <w:pStyle w:val="artigo"/>
        <w:pageBreakBefore/>
        <w:spacing w:before="0" w:after="0"/>
        <w:ind w:firstLine="567"/>
        <w:jc w:val="center"/>
      </w:pPr>
      <w:r>
        <w:rPr>
          <w:rFonts w:ascii="Arial" w:hAnsi="Arial" w:cs="Arial"/>
          <w:b/>
          <w:bCs/>
          <w:sz w:val="20"/>
          <w:szCs w:val="20"/>
        </w:rPr>
        <w:t xml:space="preserve">Anexos – GT </w:t>
      </w:r>
      <w:r>
        <w:rPr>
          <w:rFonts w:ascii="Arial" w:hAnsi="Arial" w:cs="Times New Roman"/>
          <w:b/>
          <w:bCs/>
          <w:color w:val="00000A"/>
          <w:sz w:val="20"/>
          <w:szCs w:val="20"/>
        </w:rPr>
        <w:t xml:space="preserve">Ditadura, Sistemas de Justiça e </w:t>
      </w:r>
      <w:proofErr w:type="gramStart"/>
      <w:r>
        <w:rPr>
          <w:rFonts w:ascii="Arial" w:hAnsi="Arial" w:cs="Times New Roman"/>
          <w:b/>
          <w:bCs/>
          <w:color w:val="00000A"/>
          <w:sz w:val="20"/>
          <w:szCs w:val="20"/>
        </w:rPr>
        <w:t>Repressão</w:t>
      </w:r>
      <w:proofErr w:type="gramEnd"/>
      <w:r>
        <w:rPr>
          <w:rFonts w:ascii="Arial" w:hAnsi="Arial" w:cs="Times New Roman"/>
          <w:b/>
          <w:bCs/>
          <w:color w:val="00000A"/>
          <w:sz w:val="20"/>
          <w:szCs w:val="20"/>
        </w:rPr>
        <w:t xml:space="preserve"> </w:t>
      </w:r>
    </w:p>
    <w:p w:rsidR="006F7260" w:rsidRDefault="006F7260">
      <w:pPr>
        <w:pStyle w:val="Estilopadro"/>
      </w:pPr>
    </w:p>
    <w:p w:rsidR="006F7260" w:rsidRDefault="006F7260">
      <w:pPr>
        <w:pStyle w:val="Estilopadro"/>
      </w:pPr>
    </w:p>
    <w:p w:rsidR="006F7260" w:rsidRDefault="00567BFB">
      <w:pPr>
        <w:pStyle w:val="Estilopadro"/>
      </w:pPr>
      <w:r>
        <w:rPr>
          <w:rFonts w:ascii="Arial" w:hAnsi="Arial" w:cs="Arial"/>
          <w:b/>
          <w:bCs/>
          <w:sz w:val="20"/>
          <w:szCs w:val="20"/>
        </w:rPr>
        <w:t>Anexo</w:t>
      </w:r>
      <w:r w:rsidR="00C31C0A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gramStart"/>
      <w:r w:rsidR="00C31C0A">
        <w:rPr>
          <w:rFonts w:ascii="Arial" w:hAnsi="Arial" w:cs="Arial"/>
          <w:b/>
          <w:bCs/>
          <w:sz w:val="20"/>
          <w:szCs w:val="20"/>
        </w:rPr>
        <w:t>1</w:t>
      </w:r>
      <w:proofErr w:type="gramEnd"/>
      <w:r w:rsidR="00C31C0A" w:rsidRPr="00567BFB">
        <w:rPr>
          <w:rFonts w:ascii="Arial" w:hAnsi="Arial" w:cs="Arial"/>
          <w:b/>
          <w:sz w:val="20"/>
          <w:szCs w:val="20"/>
        </w:rPr>
        <w:t xml:space="preserve">: </w:t>
      </w:r>
      <w:r w:rsidR="00C31C0A">
        <w:rPr>
          <w:rFonts w:ascii="Arial" w:hAnsi="Arial" w:cs="Arial"/>
          <w:sz w:val="20"/>
          <w:szCs w:val="20"/>
        </w:rPr>
        <w:t xml:space="preserve">Ata da reunião da Comissão Especial que instaurou o inquérito contra Aldo Fernandes e </w:t>
      </w:r>
      <w:proofErr w:type="spellStart"/>
      <w:r w:rsidR="00C31C0A">
        <w:rPr>
          <w:rFonts w:ascii="Arial" w:hAnsi="Arial" w:cs="Arial"/>
          <w:sz w:val="20"/>
          <w:szCs w:val="20"/>
        </w:rPr>
        <w:t>Athos</w:t>
      </w:r>
      <w:proofErr w:type="spellEnd"/>
      <w:r w:rsidR="00C31C0A">
        <w:rPr>
          <w:rFonts w:ascii="Arial" w:hAnsi="Arial" w:cs="Arial"/>
          <w:sz w:val="20"/>
          <w:szCs w:val="20"/>
        </w:rPr>
        <w:t xml:space="preserve"> de Santa Tereza </w:t>
      </w:r>
      <w:proofErr w:type="spellStart"/>
      <w:r w:rsidR="00C31C0A">
        <w:rPr>
          <w:rFonts w:ascii="Arial" w:hAnsi="Arial" w:cs="Arial"/>
          <w:sz w:val="20"/>
          <w:szCs w:val="20"/>
        </w:rPr>
        <w:t>Abilhoa</w:t>
      </w:r>
      <w:proofErr w:type="spellEnd"/>
      <w:r w:rsidR="00C31C0A">
        <w:rPr>
          <w:rFonts w:ascii="Arial" w:hAnsi="Arial" w:cs="Arial"/>
          <w:sz w:val="20"/>
          <w:szCs w:val="20"/>
        </w:rPr>
        <w:t>.</w:t>
      </w:r>
    </w:p>
    <w:p w:rsidR="006F7260" w:rsidRDefault="006F7260">
      <w:pPr>
        <w:pStyle w:val="Estilopadro"/>
      </w:pPr>
    </w:p>
    <w:p w:rsidR="006F7260" w:rsidRDefault="00C31C0A">
      <w:pPr>
        <w:pStyle w:val="Estilopadro"/>
      </w:pPr>
      <w:r>
        <w:rPr>
          <w:noProof/>
          <w:lang w:eastAsia="pt-BR" w:bidi="ar-SA"/>
        </w:rPr>
        <w:drawing>
          <wp:inline distT="0" distB="0" distL="0" distR="0">
            <wp:extent cx="4788535" cy="6174105"/>
            <wp:effectExtent l="0" t="0" r="0" b="0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535" cy="617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260" w:rsidRDefault="00C31C0A">
      <w:pPr>
        <w:pStyle w:val="Estilopadro"/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4788535" cy="1328420"/>
            <wp:effectExtent l="0" t="0" r="0" b="0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535" cy="132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 w:bidi="ar-SA"/>
        </w:rPr>
        <w:drawing>
          <wp:inline distT="0" distB="0" distL="0" distR="0">
            <wp:extent cx="4862195" cy="3257550"/>
            <wp:effectExtent l="0" t="0" r="0" b="0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19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260" w:rsidRDefault="006F7260">
      <w:pPr>
        <w:pStyle w:val="Estilopadro"/>
      </w:pPr>
    </w:p>
    <w:p w:rsidR="006F7260" w:rsidRDefault="00567BFB" w:rsidP="00567BFB">
      <w:pPr>
        <w:pStyle w:val="Estilopadro"/>
        <w:pageBreakBefore/>
      </w:pPr>
      <w:r>
        <w:rPr>
          <w:rFonts w:ascii="Arial" w:hAnsi="Arial" w:cs="Arial"/>
          <w:b/>
          <w:bCs/>
          <w:sz w:val="20"/>
          <w:szCs w:val="20"/>
        </w:rPr>
        <w:lastRenderedPageBreak/>
        <w:t>Anexo</w:t>
      </w:r>
      <w:r w:rsidR="00C31C0A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gramStart"/>
      <w:r w:rsidR="00C31C0A">
        <w:rPr>
          <w:rFonts w:ascii="Arial" w:hAnsi="Arial" w:cs="Arial"/>
          <w:b/>
          <w:bCs/>
          <w:sz w:val="20"/>
          <w:szCs w:val="20"/>
        </w:rPr>
        <w:t>2</w:t>
      </w:r>
      <w:proofErr w:type="gramEnd"/>
      <w:r w:rsidR="00C31C0A">
        <w:rPr>
          <w:rFonts w:ascii="Arial" w:hAnsi="Arial" w:cs="Arial"/>
          <w:b/>
          <w:bCs/>
          <w:sz w:val="20"/>
          <w:szCs w:val="20"/>
        </w:rPr>
        <w:t xml:space="preserve">: </w:t>
      </w:r>
      <w:r w:rsidR="00C31C0A">
        <w:rPr>
          <w:rFonts w:ascii="Arial" w:hAnsi="Arial" w:cs="Arial"/>
          <w:sz w:val="20"/>
          <w:szCs w:val="20"/>
        </w:rPr>
        <w:t>Parecer nº 5/64 da Comissão Especial</w:t>
      </w:r>
      <w:r w:rsidR="00C31C0A">
        <w:rPr>
          <w:noProof/>
          <w:lang w:eastAsia="pt-BR" w:bidi="ar-SA"/>
        </w:rPr>
        <w:drawing>
          <wp:inline distT="0" distB="0" distL="0" distR="0" wp14:anchorId="0FF9CC3D" wp14:editId="7D1CF821">
            <wp:extent cx="4808855" cy="7764780"/>
            <wp:effectExtent l="0" t="0" r="0" b="0"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855" cy="776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1C0A">
        <w:rPr>
          <w:noProof/>
          <w:lang w:eastAsia="pt-BR" w:bidi="ar-SA"/>
        </w:rPr>
        <w:lastRenderedPageBreak/>
        <w:drawing>
          <wp:inline distT="0" distB="0" distL="0" distR="0" wp14:anchorId="5B67FE20" wp14:editId="3F8D004B">
            <wp:extent cx="4862195" cy="7913370"/>
            <wp:effectExtent l="0" t="0" r="0" b="0"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195" cy="791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1C0A">
        <w:rPr>
          <w:noProof/>
          <w:lang w:eastAsia="pt-BR" w:bidi="ar-SA"/>
        </w:rPr>
        <w:lastRenderedPageBreak/>
        <w:drawing>
          <wp:inline distT="0" distB="0" distL="0" distR="0" wp14:anchorId="1F5121F4" wp14:editId="069045EA">
            <wp:extent cx="4850130" cy="7882890"/>
            <wp:effectExtent l="0" t="0" r="0" b="0"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788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1C0A">
        <w:rPr>
          <w:rFonts w:ascii="Arial" w:eastAsia="Arial" w:hAnsi="Arial" w:cs="Arial"/>
          <w:sz w:val="20"/>
          <w:szCs w:val="20"/>
        </w:rPr>
        <w:t xml:space="preserve"> </w:t>
      </w:r>
      <w:r w:rsidR="00C31C0A">
        <w:rPr>
          <w:rFonts w:ascii="Arial" w:eastAsia="Arial" w:hAnsi="Arial" w:cs="Arial"/>
          <w:noProof/>
          <w:sz w:val="20"/>
          <w:szCs w:val="20"/>
          <w:lang w:eastAsia="pt-BR" w:bidi="ar-SA"/>
        </w:rPr>
        <w:lastRenderedPageBreak/>
        <w:drawing>
          <wp:inline distT="0" distB="0" distL="0" distR="0" wp14:anchorId="67D6E54B" wp14:editId="3A274C6E">
            <wp:extent cx="5389245" cy="8721090"/>
            <wp:effectExtent l="0" t="0" r="0" b="0"/>
            <wp:docPr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872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1C0A">
        <w:rPr>
          <w:rFonts w:ascii="Arial" w:eastAsia="Arial" w:hAnsi="Arial" w:cs="Arial"/>
          <w:sz w:val="20"/>
          <w:szCs w:val="20"/>
        </w:rPr>
        <w:t xml:space="preserve"> </w:t>
      </w:r>
      <w:r w:rsidR="00C31C0A">
        <w:rPr>
          <w:rFonts w:ascii="Arial" w:eastAsia="Arial" w:hAnsi="Arial" w:cs="Arial"/>
          <w:noProof/>
          <w:sz w:val="20"/>
          <w:szCs w:val="20"/>
          <w:lang w:eastAsia="pt-BR" w:bidi="ar-SA"/>
        </w:rPr>
        <w:lastRenderedPageBreak/>
        <w:drawing>
          <wp:inline distT="0" distB="0" distL="0" distR="0" wp14:anchorId="10ABFE2B" wp14:editId="314261CF">
            <wp:extent cx="4806315" cy="7664450"/>
            <wp:effectExtent l="0" t="0" r="0" b="0"/>
            <wp:docPr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315" cy="766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1C0A">
        <w:rPr>
          <w:rFonts w:ascii="Arial" w:eastAsia="Arial" w:hAnsi="Arial" w:cs="Arial"/>
          <w:noProof/>
          <w:sz w:val="20"/>
          <w:szCs w:val="20"/>
          <w:lang w:eastAsia="pt-BR" w:bidi="ar-SA"/>
        </w:rPr>
        <w:lastRenderedPageBreak/>
        <w:drawing>
          <wp:inline distT="0" distB="0" distL="0" distR="0" wp14:anchorId="5AAEFFCA" wp14:editId="0697CE10">
            <wp:extent cx="4786630" cy="7764780"/>
            <wp:effectExtent l="0" t="0" r="0" b="0"/>
            <wp:docPr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630" cy="776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1C0A">
        <w:rPr>
          <w:rFonts w:ascii="Arial" w:eastAsia="Arial" w:hAnsi="Arial" w:cs="Arial"/>
          <w:noProof/>
          <w:sz w:val="20"/>
          <w:szCs w:val="20"/>
          <w:lang w:eastAsia="pt-BR" w:bidi="ar-SA"/>
        </w:rPr>
        <w:lastRenderedPageBreak/>
        <w:drawing>
          <wp:inline distT="0" distB="0" distL="0" distR="0" wp14:anchorId="08C901F3" wp14:editId="225C7B5B">
            <wp:extent cx="4808855" cy="7723505"/>
            <wp:effectExtent l="0" t="0" r="0" b="0"/>
            <wp:docPr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855" cy="772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1C0A">
        <w:rPr>
          <w:rFonts w:ascii="Arial" w:eastAsia="Arial" w:hAnsi="Arial" w:cs="Arial"/>
          <w:noProof/>
          <w:sz w:val="20"/>
          <w:szCs w:val="20"/>
          <w:lang w:eastAsia="pt-BR" w:bidi="ar-SA"/>
        </w:rPr>
        <w:lastRenderedPageBreak/>
        <w:drawing>
          <wp:inline distT="0" distB="0" distL="0" distR="0" wp14:anchorId="50F50EC0" wp14:editId="6443BA88">
            <wp:extent cx="4829810" cy="7882890"/>
            <wp:effectExtent l="0" t="0" r="0" b="0"/>
            <wp:docPr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810" cy="788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260" w:rsidRDefault="006F7260">
      <w:pPr>
        <w:pStyle w:val="Estilopadro"/>
      </w:pPr>
    </w:p>
    <w:p w:rsidR="006F7260" w:rsidRDefault="00567BFB">
      <w:pPr>
        <w:pStyle w:val="Estilopadro"/>
        <w:pageBreakBefore/>
      </w:pPr>
      <w:r>
        <w:rPr>
          <w:rFonts w:ascii="Arial" w:hAnsi="Arial" w:cs="Arial"/>
          <w:b/>
          <w:bCs/>
          <w:sz w:val="20"/>
          <w:szCs w:val="20"/>
        </w:rPr>
        <w:lastRenderedPageBreak/>
        <w:t xml:space="preserve">Anexo </w:t>
      </w:r>
      <w:proofErr w:type="gramStart"/>
      <w:r>
        <w:rPr>
          <w:rFonts w:ascii="Arial" w:hAnsi="Arial" w:cs="Arial"/>
          <w:b/>
          <w:bCs/>
          <w:sz w:val="20"/>
          <w:szCs w:val="20"/>
        </w:rPr>
        <w:t>3</w:t>
      </w:r>
      <w:proofErr w:type="gramEnd"/>
      <w:r>
        <w:rPr>
          <w:rFonts w:ascii="Arial" w:hAnsi="Arial" w:cs="Arial"/>
          <w:b/>
          <w:bCs/>
          <w:sz w:val="20"/>
          <w:szCs w:val="20"/>
        </w:rPr>
        <w:t xml:space="preserve">: </w:t>
      </w:r>
      <w:r w:rsidR="00C31C0A">
        <w:rPr>
          <w:rFonts w:ascii="Arial" w:hAnsi="Arial" w:cs="Arial"/>
          <w:sz w:val="20"/>
          <w:szCs w:val="20"/>
        </w:rPr>
        <w:t xml:space="preserve">Ofícios trocados entre o </w:t>
      </w:r>
      <w:r>
        <w:rPr>
          <w:rFonts w:ascii="Arial" w:hAnsi="Arial" w:cs="Arial"/>
          <w:sz w:val="20"/>
          <w:szCs w:val="20"/>
        </w:rPr>
        <w:t>p</w:t>
      </w:r>
      <w:r w:rsidR="00C31C0A">
        <w:rPr>
          <w:rFonts w:ascii="Arial" w:hAnsi="Arial" w:cs="Arial"/>
          <w:sz w:val="20"/>
          <w:szCs w:val="20"/>
        </w:rPr>
        <w:t xml:space="preserve">residente da Comissão Especial de investigação sumária e o </w:t>
      </w:r>
      <w:r>
        <w:rPr>
          <w:rFonts w:ascii="Arial" w:hAnsi="Arial" w:cs="Arial"/>
          <w:sz w:val="20"/>
          <w:szCs w:val="20"/>
        </w:rPr>
        <w:t>p</w:t>
      </w:r>
      <w:r w:rsidR="00C31C0A">
        <w:rPr>
          <w:rFonts w:ascii="Arial" w:hAnsi="Arial" w:cs="Arial"/>
          <w:sz w:val="20"/>
          <w:szCs w:val="20"/>
        </w:rPr>
        <w:t>residente do Tribunal de Justiça.</w:t>
      </w:r>
    </w:p>
    <w:p w:rsidR="006F7260" w:rsidRDefault="00C31C0A">
      <w:pPr>
        <w:pStyle w:val="Estilopadro"/>
      </w:pPr>
      <w:r>
        <w:rPr>
          <w:noProof/>
          <w:lang w:eastAsia="pt-BR" w:bidi="ar-SA"/>
        </w:rPr>
        <w:drawing>
          <wp:inline distT="0" distB="0" distL="0" distR="0">
            <wp:extent cx="4834890" cy="7119620"/>
            <wp:effectExtent l="0" t="0" r="0" b="0"/>
            <wp:docPr id="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890" cy="711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260" w:rsidRDefault="00C31C0A">
      <w:pPr>
        <w:pStyle w:val="Estilopadro"/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4786630" cy="7000875"/>
            <wp:effectExtent l="0" t="0" r="0" b="0"/>
            <wp:docPr id="1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630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260" w:rsidRDefault="00C31C0A">
      <w:pPr>
        <w:pStyle w:val="Estilopadro"/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4853305" cy="7006590"/>
            <wp:effectExtent l="0" t="0" r="0" b="0"/>
            <wp:docPr id="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305" cy="700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 w:bidi="ar-SA"/>
        </w:rPr>
        <w:lastRenderedPageBreak/>
        <w:drawing>
          <wp:inline distT="0" distB="0" distL="0" distR="0">
            <wp:extent cx="5364480" cy="8164830"/>
            <wp:effectExtent l="0" t="0" r="0" b="0"/>
            <wp:docPr id="1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816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260" w:rsidRDefault="006F7260">
      <w:pPr>
        <w:pStyle w:val="Estilopadro"/>
      </w:pPr>
    </w:p>
    <w:p w:rsidR="006F7260" w:rsidRDefault="006F7260">
      <w:pPr>
        <w:pStyle w:val="Estilopadro"/>
      </w:pPr>
    </w:p>
    <w:p w:rsidR="006F7260" w:rsidRDefault="006F7260">
      <w:pPr>
        <w:pStyle w:val="Estilopadro"/>
      </w:pPr>
    </w:p>
    <w:p w:rsidR="006F7260" w:rsidRDefault="00C31C0A">
      <w:pPr>
        <w:pStyle w:val="Estilopadro"/>
      </w:pPr>
      <w:r>
        <w:rPr>
          <w:rFonts w:ascii="Arial" w:hAnsi="Arial" w:cs="Arial"/>
          <w:b/>
          <w:bCs/>
          <w:sz w:val="20"/>
          <w:szCs w:val="20"/>
        </w:rPr>
        <w:lastRenderedPageBreak/>
        <w:t xml:space="preserve">Anexo </w:t>
      </w:r>
      <w:proofErr w:type="gramStart"/>
      <w:r>
        <w:rPr>
          <w:rFonts w:ascii="Arial" w:hAnsi="Arial" w:cs="Arial"/>
          <w:b/>
          <w:bCs/>
          <w:sz w:val="20"/>
          <w:szCs w:val="20"/>
        </w:rPr>
        <w:t>4</w:t>
      </w:r>
      <w:proofErr w:type="gramEnd"/>
      <w:r>
        <w:rPr>
          <w:rFonts w:ascii="Arial" w:hAnsi="Arial" w:cs="Arial"/>
          <w:b/>
          <w:bCs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>Matéria jornalística sobre a crise institucion</w:t>
      </w:r>
      <w:bookmarkStart w:id="0" w:name="_GoBack"/>
      <w:bookmarkEnd w:id="0"/>
      <w:r>
        <w:rPr>
          <w:rFonts w:ascii="Arial" w:hAnsi="Arial" w:cs="Arial"/>
          <w:sz w:val="20"/>
          <w:szCs w:val="20"/>
        </w:rPr>
        <w:t>al no Paraná, em 1973.</w:t>
      </w:r>
    </w:p>
    <w:p w:rsidR="006F7260" w:rsidRDefault="00C31C0A">
      <w:pPr>
        <w:pStyle w:val="Estilopadro"/>
      </w:pPr>
      <w:r>
        <w:rPr>
          <w:noProof/>
          <w:lang w:eastAsia="pt-BR" w:bidi="ar-SA"/>
        </w:rPr>
        <w:drawing>
          <wp:inline distT="0" distB="0" distL="0" distR="0">
            <wp:extent cx="5690235" cy="5670550"/>
            <wp:effectExtent l="0" t="0" r="0" b="0"/>
            <wp:docPr id="1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235" cy="567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260" w:rsidRDefault="00C31C0A">
      <w:pPr>
        <w:pStyle w:val="Estilopadro"/>
      </w:pPr>
      <w:r>
        <w:rPr>
          <w:rFonts w:ascii="Arial" w:hAnsi="Arial" w:cs="Arial"/>
          <w:b/>
          <w:bCs/>
          <w:sz w:val="20"/>
          <w:szCs w:val="20"/>
        </w:rPr>
        <w:t>Fonte: Correio da Manhã, Rio de</w:t>
      </w:r>
      <w:r>
        <w:rPr>
          <w:rFonts w:ascii="Arial" w:hAnsi="Arial" w:cs="Arial"/>
          <w:b/>
          <w:bCs/>
          <w:sz w:val="20"/>
          <w:szCs w:val="20"/>
        </w:rPr>
        <w:t xml:space="preserve"> Janeiro, edição de </w:t>
      </w:r>
      <w:proofErr w:type="gramStart"/>
      <w:r>
        <w:rPr>
          <w:rFonts w:ascii="Arial" w:hAnsi="Arial" w:cs="Arial"/>
          <w:b/>
          <w:bCs/>
          <w:sz w:val="20"/>
          <w:szCs w:val="20"/>
        </w:rPr>
        <w:t>2</w:t>
      </w:r>
      <w:proofErr w:type="gramEnd"/>
      <w:r>
        <w:rPr>
          <w:rFonts w:ascii="Arial" w:hAnsi="Arial" w:cs="Arial"/>
          <w:b/>
          <w:bCs/>
          <w:sz w:val="20"/>
          <w:szCs w:val="20"/>
        </w:rPr>
        <w:t xml:space="preserve"> de junho de 1973</w:t>
      </w:r>
      <w:r w:rsidR="00826FFA">
        <w:rPr>
          <w:rFonts w:ascii="Arial" w:hAnsi="Arial" w:cs="Arial"/>
          <w:b/>
          <w:bCs/>
          <w:sz w:val="20"/>
          <w:szCs w:val="20"/>
        </w:rPr>
        <w:t>.</w:t>
      </w:r>
    </w:p>
    <w:p w:rsidR="006F7260" w:rsidRDefault="006F7260">
      <w:pPr>
        <w:pStyle w:val="Estilopadro"/>
      </w:pPr>
    </w:p>
    <w:p w:rsidR="006F7260" w:rsidRDefault="006F7260">
      <w:pPr>
        <w:pStyle w:val="Estilopadro"/>
      </w:pPr>
    </w:p>
    <w:p w:rsidR="006F7260" w:rsidRDefault="006F7260">
      <w:pPr>
        <w:pStyle w:val="Estilopadro"/>
      </w:pPr>
    </w:p>
    <w:p w:rsidR="006F7260" w:rsidRDefault="002E32DE">
      <w:pPr>
        <w:pStyle w:val="artigo"/>
        <w:pageBreakBefore/>
        <w:spacing w:before="0" w:after="0"/>
        <w:jc w:val="both"/>
      </w:pPr>
      <w:r>
        <w:rPr>
          <w:rFonts w:ascii="Arial" w:hAnsi="Arial" w:cs="Arial"/>
          <w:b/>
          <w:bCs/>
          <w:sz w:val="20"/>
          <w:szCs w:val="20"/>
        </w:rPr>
        <w:lastRenderedPageBreak/>
        <w:t>Anexo</w:t>
      </w:r>
      <w:r w:rsidR="00C31C0A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gramStart"/>
      <w:r w:rsidR="00C31C0A">
        <w:rPr>
          <w:rFonts w:ascii="Arial" w:hAnsi="Arial" w:cs="Arial"/>
          <w:b/>
          <w:bCs/>
          <w:sz w:val="20"/>
          <w:szCs w:val="20"/>
        </w:rPr>
        <w:t>5</w:t>
      </w:r>
      <w:proofErr w:type="gramEnd"/>
      <w:r w:rsidR="00C31C0A">
        <w:rPr>
          <w:rFonts w:ascii="Arial" w:hAnsi="Arial" w:cs="Arial"/>
          <w:b/>
          <w:bCs/>
          <w:sz w:val="20"/>
          <w:szCs w:val="20"/>
        </w:rPr>
        <w:t xml:space="preserve">: </w:t>
      </w:r>
      <w:r w:rsidR="00C31C0A">
        <w:rPr>
          <w:rFonts w:ascii="Arial" w:hAnsi="Arial" w:cs="Arial"/>
          <w:sz w:val="20"/>
          <w:szCs w:val="20"/>
        </w:rPr>
        <w:t>A história do Ministério Público no Brasil</w:t>
      </w:r>
    </w:p>
    <w:p w:rsidR="006F7260" w:rsidRDefault="006F7260">
      <w:pPr>
        <w:pStyle w:val="artigo"/>
        <w:spacing w:before="0" w:after="0"/>
        <w:jc w:val="both"/>
      </w:pPr>
    </w:p>
    <w:p w:rsidR="006F7260" w:rsidRDefault="00C31C0A">
      <w:pPr>
        <w:pStyle w:val="artigo"/>
        <w:spacing w:before="0" w:after="0"/>
        <w:jc w:val="both"/>
      </w:pPr>
      <w:r>
        <w:rPr>
          <w:rFonts w:ascii="Arial" w:hAnsi="Arial" w:cs="Arial"/>
          <w:b/>
          <w:bCs/>
          <w:sz w:val="20"/>
          <w:szCs w:val="20"/>
        </w:rPr>
        <w:t>Período Pré-Colonial</w:t>
      </w:r>
    </w:p>
    <w:p w:rsidR="006F7260" w:rsidRDefault="006F7260">
      <w:pPr>
        <w:pStyle w:val="artigo"/>
        <w:spacing w:before="0" w:after="0"/>
        <w:ind w:left="709"/>
        <w:jc w:val="both"/>
      </w:pPr>
    </w:p>
    <w:p w:rsidR="006F7260" w:rsidRDefault="00C31C0A">
      <w:pPr>
        <w:pStyle w:val="PargrafodaLista"/>
        <w:numPr>
          <w:ilvl w:val="0"/>
          <w:numId w:val="8"/>
        </w:numPr>
        <w:ind w:left="709"/>
      </w:pPr>
      <w:r>
        <w:rPr>
          <w:rFonts w:ascii="Arial" w:hAnsi="Arial" w:cs="Arial"/>
          <w:sz w:val="20"/>
        </w:rPr>
        <w:t>Orientado pelo direito praticado em Portugal, o Brasil ainda não tinha o Ministério Público como instituição.</w:t>
      </w:r>
    </w:p>
    <w:p w:rsidR="006F7260" w:rsidRDefault="00C31C0A">
      <w:pPr>
        <w:pStyle w:val="artigo"/>
        <w:numPr>
          <w:ilvl w:val="0"/>
          <w:numId w:val="1"/>
        </w:numPr>
        <w:spacing w:before="0" w:after="0"/>
        <w:ind w:left="709"/>
        <w:jc w:val="both"/>
      </w:pPr>
      <w:r>
        <w:rPr>
          <w:rFonts w:ascii="Arial" w:hAnsi="Arial" w:cs="Arial"/>
          <w:sz w:val="20"/>
          <w:szCs w:val="20"/>
        </w:rPr>
        <w:t xml:space="preserve">Em 1521, as Ordenações </w:t>
      </w:r>
      <w:r>
        <w:rPr>
          <w:rFonts w:ascii="Arial" w:hAnsi="Arial" w:cs="Arial"/>
          <w:sz w:val="20"/>
          <w:szCs w:val="20"/>
        </w:rPr>
        <w:t>Manuelinas, que fiscalizam o cumprimento e execução da lei juntamente com os Procuradores dos Feitos do Rei, citam o papel do promotor de justiça, que deveria ser alguém letrado e bem entendido para saber espertar e alegar as causas e razões para clareza d</w:t>
      </w:r>
      <w:r>
        <w:rPr>
          <w:rFonts w:ascii="Arial" w:hAnsi="Arial" w:cs="Arial"/>
          <w:sz w:val="20"/>
          <w:szCs w:val="20"/>
        </w:rPr>
        <w:t>a justiça e inteira conservação da mesma.</w:t>
      </w:r>
    </w:p>
    <w:p w:rsidR="006F7260" w:rsidRDefault="00C31C0A">
      <w:pPr>
        <w:pStyle w:val="artigo"/>
        <w:numPr>
          <w:ilvl w:val="0"/>
          <w:numId w:val="1"/>
        </w:numPr>
        <w:spacing w:before="0" w:after="0"/>
        <w:ind w:left="709"/>
        <w:jc w:val="both"/>
      </w:pPr>
      <w:r>
        <w:rPr>
          <w:rFonts w:ascii="Arial" w:hAnsi="Arial" w:cs="Arial"/>
          <w:sz w:val="20"/>
          <w:szCs w:val="20"/>
        </w:rPr>
        <w:t>Em 1603, as Ordenações Filipinas passaram a prever, ao lado do promotor de Justiça da Casa da Suplicação, as figuras do Procurador dos Feitos da Coroa, do Procurador dos Feitos da Fazenda e a do Solicitador da Just</w:t>
      </w:r>
      <w:r>
        <w:rPr>
          <w:rFonts w:ascii="Arial" w:hAnsi="Arial" w:cs="Arial"/>
          <w:sz w:val="20"/>
          <w:szCs w:val="20"/>
        </w:rPr>
        <w:t>iça da Casa da Suplicação, com funções que, posteriormente, iriam ser exercidas pelo Ministério Público.</w:t>
      </w:r>
    </w:p>
    <w:p w:rsidR="006F7260" w:rsidRDefault="00C31C0A">
      <w:pPr>
        <w:pStyle w:val="artigo"/>
        <w:numPr>
          <w:ilvl w:val="0"/>
          <w:numId w:val="1"/>
        </w:numPr>
        <w:spacing w:before="0" w:after="0"/>
        <w:ind w:left="709"/>
        <w:jc w:val="both"/>
      </w:pPr>
      <w:r>
        <w:rPr>
          <w:rFonts w:ascii="Arial" w:hAnsi="Arial" w:cs="Arial"/>
          <w:sz w:val="20"/>
          <w:szCs w:val="20"/>
        </w:rPr>
        <w:t xml:space="preserve">O promotor de Justiça da Casa da Suplicação, indicado pelo rei, tinha as funções de fiscalizar o cumprimento da lei e de formular a acusação criminal </w:t>
      </w:r>
      <w:r>
        <w:rPr>
          <w:rFonts w:ascii="Arial" w:hAnsi="Arial" w:cs="Arial"/>
          <w:sz w:val="20"/>
          <w:szCs w:val="20"/>
        </w:rPr>
        <w:t>nos processos perante a Casa de Suplicação.</w:t>
      </w:r>
    </w:p>
    <w:p w:rsidR="006F7260" w:rsidRDefault="006F7260">
      <w:pPr>
        <w:pStyle w:val="artigo"/>
        <w:spacing w:before="0" w:after="0"/>
        <w:ind w:left="709"/>
        <w:jc w:val="both"/>
      </w:pPr>
    </w:p>
    <w:p w:rsidR="006F7260" w:rsidRDefault="00C31C0A">
      <w:pPr>
        <w:pStyle w:val="artigo"/>
        <w:spacing w:before="0" w:after="0"/>
        <w:jc w:val="both"/>
      </w:pPr>
      <w:r>
        <w:rPr>
          <w:rFonts w:ascii="Arial" w:hAnsi="Arial" w:cs="Arial"/>
          <w:b/>
          <w:bCs/>
          <w:sz w:val="20"/>
          <w:szCs w:val="20"/>
        </w:rPr>
        <w:t>Período Colonial</w:t>
      </w:r>
    </w:p>
    <w:p w:rsidR="006F7260" w:rsidRDefault="006F7260">
      <w:pPr>
        <w:pStyle w:val="artigo"/>
        <w:spacing w:before="0" w:after="0"/>
        <w:ind w:left="709"/>
        <w:jc w:val="both"/>
      </w:pPr>
    </w:p>
    <w:p w:rsidR="006F7260" w:rsidRDefault="00C31C0A">
      <w:pPr>
        <w:pStyle w:val="artigo"/>
        <w:numPr>
          <w:ilvl w:val="0"/>
          <w:numId w:val="5"/>
        </w:numPr>
        <w:spacing w:before="0" w:after="0"/>
        <w:ind w:left="709"/>
        <w:jc w:val="both"/>
      </w:pPr>
      <w:r>
        <w:rPr>
          <w:rFonts w:ascii="Arial" w:hAnsi="Arial" w:cs="Arial"/>
          <w:sz w:val="20"/>
          <w:szCs w:val="20"/>
        </w:rPr>
        <w:t xml:space="preserve">Até o início de 1609, funcionava no Brasil apenas a justiça de primeira instância e ainda não existia o Ministério Público. Os processos criminais eram iniciados pelo particular, pelo ofendido </w:t>
      </w:r>
      <w:r>
        <w:rPr>
          <w:rFonts w:ascii="Arial" w:hAnsi="Arial" w:cs="Arial"/>
          <w:sz w:val="20"/>
          <w:szCs w:val="20"/>
        </w:rPr>
        <w:t>ou pelo próprio juiz e o recurso cabível era interposto para a relação de Lisboa, em Portugal.</w:t>
      </w:r>
    </w:p>
    <w:p w:rsidR="006F7260" w:rsidRDefault="00C31C0A">
      <w:pPr>
        <w:pStyle w:val="artigo"/>
        <w:numPr>
          <w:ilvl w:val="0"/>
          <w:numId w:val="2"/>
        </w:numPr>
        <w:spacing w:before="0" w:after="0"/>
        <w:ind w:left="709"/>
        <w:jc w:val="both"/>
      </w:pPr>
      <w:r>
        <w:rPr>
          <w:rFonts w:ascii="Arial" w:hAnsi="Arial" w:cs="Arial"/>
          <w:sz w:val="20"/>
          <w:szCs w:val="20"/>
        </w:rPr>
        <w:t>Em março de 1609, cria-se o Tribunal da Relação da Bahia, onde foi definida pela primeira vez a figura do promotor de Justiça que, juntamente com o Procurador do</w:t>
      </w:r>
      <w:r>
        <w:rPr>
          <w:rFonts w:ascii="Arial" w:hAnsi="Arial" w:cs="Arial"/>
          <w:sz w:val="20"/>
          <w:szCs w:val="20"/>
        </w:rPr>
        <w:t>s Feitos da Coroa, Fazenda e Fisco, integrava o tribunal.</w:t>
      </w:r>
    </w:p>
    <w:p w:rsidR="006F7260" w:rsidRDefault="00C31C0A">
      <w:pPr>
        <w:pStyle w:val="artigo"/>
        <w:numPr>
          <w:ilvl w:val="0"/>
          <w:numId w:val="2"/>
        </w:numPr>
        <w:spacing w:before="0" w:after="0"/>
        <w:ind w:left="709"/>
        <w:jc w:val="both"/>
      </w:pPr>
      <w:r>
        <w:rPr>
          <w:rFonts w:ascii="Arial" w:hAnsi="Arial" w:cs="Arial"/>
          <w:sz w:val="20"/>
          <w:szCs w:val="20"/>
        </w:rPr>
        <w:t>Em 1751, o Tribunal de Relação é criado, no Rio de Janeiro, com a mesma estrutura organizacional do tribunal baiano.</w:t>
      </w:r>
    </w:p>
    <w:p w:rsidR="006F7260" w:rsidRDefault="00C31C0A">
      <w:pPr>
        <w:pStyle w:val="artigo"/>
        <w:numPr>
          <w:ilvl w:val="0"/>
          <w:numId w:val="2"/>
        </w:numPr>
        <w:spacing w:before="0" w:after="0"/>
        <w:ind w:left="709"/>
        <w:jc w:val="both"/>
      </w:pPr>
      <w:r>
        <w:rPr>
          <w:rFonts w:ascii="Arial" w:hAnsi="Arial" w:cs="Arial"/>
          <w:sz w:val="20"/>
          <w:szCs w:val="20"/>
        </w:rPr>
        <w:t>Em 1763, com a transferência da capital de Salvador (BA) para o Rio de Janeiro, o</w:t>
      </w:r>
      <w:r>
        <w:rPr>
          <w:rFonts w:ascii="Arial" w:hAnsi="Arial" w:cs="Arial"/>
          <w:sz w:val="20"/>
          <w:szCs w:val="20"/>
        </w:rPr>
        <w:t xml:space="preserve"> Tribunal de Relação do Rio de Janeiro foi transformado em Casa de Suplicação do Brasil.</w:t>
      </w:r>
    </w:p>
    <w:p w:rsidR="006F7260" w:rsidRDefault="00C31C0A">
      <w:pPr>
        <w:pStyle w:val="artigo"/>
        <w:numPr>
          <w:ilvl w:val="0"/>
          <w:numId w:val="2"/>
        </w:numPr>
        <w:spacing w:before="0" w:after="0"/>
        <w:ind w:left="709"/>
        <w:jc w:val="both"/>
      </w:pPr>
      <w:r>
        <w:rPr>
          <w:rFonts w:ascii="Arial" w:hAnsi="Arial" w:cs="Arial"/>
          <w:sz w:val="20"/>
          <w:szCs w:val="20"/>
        </w:rPr>
        <w:t>Em 1808, a Casa de Suplicação passa a julgar recursos de decisões do Tribunal de Relação da Bahia. Neste novo tribunal os cargos de promotor de Justiça e o de procurad</w:t>
      </w:r>
      <w:r>
        <w:rPr>
          <w:rFonts w:ascii="Arial" w:hAnsi="Arial" w:cs="Arial"/>
          <w:sz w:val="20"/>
          <w:szCs w:val="20"/>
        </w:rPr>
        <w:t>or dos Feitos da Coroa e Fazenda foram unificados e passaram a ser ocupados por dois titulares.</w:t>
      </w:r>
    </w:p>
    <w:p w:rsidR="006F7260" w:rsidRDefault="006F7260">
      <w:pPr>
        <w:pStyle w:val="artigo"/>
        <w:spacing w:before="0" w:after="0"/>
        <w:ind w:left="709"/>
        <w:jc w:val="both"/>
      </w:pPr>
    </w:p>
    <w:p w:rsidR="006F7260" w:rsidRDefault="00C31C0A">
      <w:pPr>
        <w:pStyle w:val="artigo"/>
        <w:spacing w:before="0" w:after="0"/>
        <w:jc w:val="both"/>
      </w:pPr>
      <w:r>
        <w:rPr>
          <w:rFonts w:ascii="Arial" w:hAnsi="Arial" w:cs="Arial"/>
          <w:b/>
          <w:bCs/>
          <w:sz w:val="20"/>
          <w:szCs w:val="20"/>
        </w:rPr>
        <w:t>Império</w:t>
      </w:r>
    </w:p>
    <w:p w:rsidR="006F7260" w:rsidRDefault="006F7260">
      <w:pPr>
        <w:pStyle w:val="artigo"/>
        <w:spacing w:before="0" w:after="0"/>
        <w:ind w:left="709"/>
        <w:jc w:val="both"/>
      </w:pPr>
    </w:p>
    <w:p w:rsidR="006F7260" w:rsidRDefault="00C31C0A">
      <w:pPr>
        <w:pStyle w:val="artigo"/>
        <w:numPr>
          <w:ilvl w:val="0"/>
          <w:numId w:val="6"/>
        </w:numPr>
        <w:spacing w:before="0" w:after="0"/>
        <w:ind w:left="709"/>
        <w:jc w:val="both"/>
      </w:pPr>
      <w:r>
        <w:rPr>
          <w:rFonts w:ascii="Arial" w:hAnsi="Arial" w:cs="Arial"/>
          <w:sz w:val="20"/>
          <w:szCs w:val="20"/>
        </w:rPr>
        <w:t xml:space="preserve">Em 1824, a Constituição não se refere ao Ministério Público, mas estabelecia que nos juízos de crimes, cuja acusação não pertencesse à Câmara dos </w:t>
      </w:r>
      <w:r>
        <w:rPr>
          <w:rFonts w:ascii="Arial" w:hAnsi="Arial" w:cs="Arial"/>
          <w:sz w:val="20"/>
          <w:szCs w:val="20"/>
        </w:rPr>
        <w:t>Deputados, a acusação ficaria com sob a responsabilidade do procurador da Coroa e Soberania Nacional.</w:t>
      </w:r>
    </w:p>
    <w:p w:rsidR="006F7260" w:rsidRDefault="00C31C0A">
      <w:pPr>
        <w:pStyle w:val="artigo"/>
        <w:numPr>
          <w:ilvl w:val="0"/>
          <w:numId w:val="3"/>
        </w:numPr>
        <w:spacing w:before="0" w:after="0"/>
        <w:ind w:left="709"/>
        <w:jc w:val="both"/>
      </w:pPr>
      <w:r>
        <w:rPr>
          <w:rFonts w:ascii="Arial" w:hAnsi="Arial" w:cs="Arial"/>
          <w:sz w:val="20"/>
          <w:szCs w:val="20"/>
        </w:rPr>
        <w:t>Em 1828, a Lei de 18 de setembro de 1828 tratava sobre a competência do Supremo Tribunal de Justiça e determinava o funcionamento de um promotor de Justiç</w:t>
      </w:r>
      <w:r>
        <w:rPr>
          <w:rFonts w:ascii="Arial" w:hAnsi="Arial" w:cs="Arial"/>
          <w:sz w:val="20"/>
          <w:szCs w:val="20"/>
        </w:rPr>
        <w:t>a em cada uma das Relações.</w:t>
      </w:r>
    </w:p>
    <w:p w:rsidR="006F7260" w:rsidRDefault="00C31C0A">
      <w:pPr>
        <w:pStyle w:val="artigo"/>
        <w:numPr>
          <w:ilvl w:val="0"/>
          <w:numId w:val="3"/>
        </w:numPr>
        <w:spacing w:before="0" w:after="0"/>
        <w:ind w:left="709"/>
        <w:jc w:val="both"/>
      </w:pPr>
      <w:r>
        <w:rPr>
          <w:rFonts w:ascii="Arial" w:hAnsi="Arial" w:cs="Arial"/>
          <w:sz w:val="20"/>
          <w:szCs w:val="20"/>
        </w:rPr>
        <w:t>A sistematização das ações do Ministério Público começa em 1832 com o Código de Processo Penal do Império. O Código colocava o promotor de Justiça como órgão defensor da sociedade.</w:t>
      </w:r>
    </w:p>
    <w:p w:rsidR="006F7260" w:rsidRDefault="00C31C0A">
      <w:pPr>
        <w:pStyle w:val="artigo"/>
        <w:numPr>
          <w:ilvl w:val="0"/>
          <w:numId w:val="3"/>
        </w:numPr>
        <w:spacing w:before="0" w:after="0"/>
        <w:ind w:left="709"/>
        <w:jc w:val="both"/>
      </w:pPr>
      <w:r>
        <w:rPr>
          <w:rFonts w:ascii="Arial" w:hAnsi="Arial" w:cs="Arial"/>
          <w:sz w:val="20"/>
          <w:szCs w:val="20"/>
        </w:rPr>
        <w:t>Em 1871, a Lei do Ventre Livre passou ao promot</w:t>
      </w:r>
      <w:r>
        <w:rPr>
          <w:rFonts w:ascii="Arial" w:hAnsi="Arial" w:cs="Arial"/>
          <w:sz w:val="20"/>
          <w:szCs w:val="20"/>
        </w:rPr>
        <w:t xml:space="preserve">or de Justiça a função de protetor do fraco e indefeso, ao estabelecer que a ele </w:t>
      </w:r>
      <w:proofErr w:type="gramStart"/>
      <w:r>
        <w:rPr>
          <w:rFonts w:ascii="Arial" w:hAnsi="Arial" w:cs="Arial"/>
          <w:sz w:val="20"/>
          <w:szCs w:val="20"/>
        </w:rPr>
        <w:t>cabia</w:t>
      </w:r>
      <w:proofErr w:type="gramEnd"/>
      <w:r>
        <w:rPr>
          <w:rFonts w:ascii="Arial" w:hAnsi="Arial" w:cs="Arial"/>
          <w:sz w:val="20"/>
          <w:szCs w:val="20"/>
        </w:rPr>
        <w:t xml:space="preserve"> zelar para que os filhos livres de mulheres escravas fossem devidamente registrados.</w:t>
      </w:r>
    </w:p>
    <w:p w:rsidR="006F7260" w:rsidRDefault="006F7260">
      <w:pPr>
        <w:pStyle w:val="artigo"/>
        <w:spacing w:before="0" w:after="0"/>
        <w:ind w:left="709"/>
        <w:jc w:val="both"/>
      </w:pPr>
    </w:p>
    <w:p w:rsidR="006F7260" w:rsidRDefault="00C31C0A">
      <w:pPr>
        <w:pStyle w:val="artigo"/>
        <w:spacing w:before="0" w:after="0"/>
        <w:jc w:val="both"/>
      </w:pPr>
      <w:r>
        <w:rPr>
          <w:rFonts w:ascii="Arial" w:hAnsi="Arial" w:cs="Arial"/>
          <w:b/>
          <w:bCs/>
          <w:sz w:val="20"/>
          <w:szCs w:val="20"/>
        </w:rPr>
        <w:t>República</w:t>
      </w:r>
    </w:p>
    <w:p w:rsidR="006F7260" w:rsidRDefault="006F7260">
      <w:pPr>
        <w:pStyle w:val="artigo"/>
        <w:spacing w:before="0" w:after="0"/>
        <w:ind w:left="709"/>
        <w:jc w:val="both"/>
      </w:pPr>
    </w:p>
    <w:p w:rsidR="006F7260" w:rsidRDefault="00C31C0A">
      <w:pPr>
        <w:pStyle w:val="PargrafodaLista"/>
        <w:numPr>
          <w:ilvl w:val="0"/>
          <w:numId w:val="7"/>
        </w:numPr>
        <w:ind w:left="709"/>
      </w:pPr>
      <w:r>
        <w:rPr>
          <w:rFonts w:ascii="Arial" w:hAnsi="Arial" w:cs="Arial"/>
          <w:sz w:val="20"/>
          <w:szCs w:val="20"/>
        </w:rPr>
        <w:t>Em 1890, o decreto 848, que criava e regulamentava a Justiça Federal, di</w:t>
      </w:r>
      <w:r>
        <w:rPr>
          <w:rFonts w:ascii="Arial" w:hAnsi="Arial" w:cs="Arial"/>
          <w:sz w:val="20"/>
          <w:szCs w:val="20"/>
        </w:rPr>
        <w:t>spôs sobre a estrutura e atribuições do Ministério Público no âmbito federal.</w:t>
      </w:r>
    </w:p>
    <w:p w:rsidR="006F7260" w:rsidRDefault="00C31C0A">
      <w:pPr>
        <w:pStyle w:val="artigo"/>
        <w:numPr>
          <w:ilvl w:val="0"/>
          <w:numId w:val="4"/>
        </w:numPr>
        <w:spacing w:before="0" w:after="0"/>
        <w:ind w:left="709"/>
        <w:jc w:val="both"/>
      </w:pPr>
      <w:r>
        <w:rPr>
          <w:rFonts w:ascii="Arial" w:hAnsi="Arial" w:cs="Arial"/>
          <w:sz w:val="20"/>
          <w:szCs w:val="20"/>
        </w:rPr>
        <w:lastRenderedPageBreak/>
        <w:t>Em 1934, a Constituição faz referência expressa ao Ministério Público no capítulo ‘Dos órgãos de cooperação’. Institucionaliza o Ministério Público e prevê lei federal sobre a or</w:t>
      </w:r>
      <w:r>
        <w:rPr>
          <w:rFonts w:ascii="Arial" w:hAnsi="Arial" w:cs="Arial"/>
          <w:sz w:val="20"/>
          <w:szCs w:val="20"/>
        </w:rPr>
        <w:t>ganização do Ministério Público da União.</w:t>
      </w:r>
    </w:p>
    <w:p w:rsidR="006F7260" w:rsidRDefault="00C31C0A">
      <w:pPr>
        <w:pStyle w:val="artigo"/>
        <w:numPr>
          <w:ilvl w:val="0"/>
          <w:numId w:val="4"/>
        </w:numPr>
        <w:spacing w:before="0" w:after="0"/>
        <w:ind w:left="709"/>
        <w:jc w:val="both"/>
      </w:pPr>
      <w:r>
        <w:rPr>
          <w:rFonts w:ascii="Arial" w:hAnsi="Arial" w:cs="Arial"/>
          <w:sz w:val="20"/>
          <w:szCs w:val="20"/>
        </w:rPr>
        <w:t xml:space="preserve">Nos anos seguintes, o processo de codificação do Direito nacional permitiu o crescimento institucional do Ministério Público. </w:t>
      </w:r>
      <w:proofErr w:type="gramStart"/>
      <w:r>
        <w:rPr>
          <w:rFonts w:ascii="Arial" w:hAnsi="Arial" w:cs="Arial"/>
          <w:sz w:val="20"/>
          <w:szCs w:val="20"/>
        </w:rPr>
        <w:t>Os Códigos Civil de 1917, de Processo Civil de 1939 e de 1973, Penal de 1940</w:t>
      </w:r>
      <w:proofErr w:type="gramEnd"/>
      <w:r>
        <w:rPr>
          <w:rFonts w:ascii="Arial" w:hAnsi="Arial" w:cs="Arial"/>
          <w:sz w:val="20"/>
          <w:szCs w:val="20"/>
        </w:rPr>
        <w:t xml:space="preserve"> e o de Proc</w:t>
      </w:r>
      <w:r>
        <w:rPr>
          <w:rFonts w:ascii="Arial" w:hAnsi="Arial" w:cs="Arial"/>
          <w:sz w:val="20"/>
          <w:szCs w:val="20"/>
        </w:rPr>
        <w:t>esso Penal de 1941 passaram a atribuir diversas funções à instituição.</w:t>
      </w:r>
    </w:p>
    <w:p w:rsidR="006F7260" w:rsidRDefault="00C31C0A">
      <w:pPr>
        <w:pStyle w:val="artigo"/>
        <w:numPr>
          <w:ilvl w:val="0"/>
          <w:numId w:val="4"/>
        </w:numPr>
        <w:spacing w:before="0" w:after="0"/>
        <w:ind w:left="709"/>
        <w:jc w:val="both"/>
      </w:pPr>
      <w:r>
        <w:rPr>
          <w:rFonts w:ascii="Arial" w:hAnsi="Arial" w:cs="Arial"/>
          <w:sz w:val="20"/>
          <w:szCs w:val="20"/>
        </w:rPr>
        <w:t>Em 1937, a Constituição não faz referência expressa ao Ministério Público, mas diz respeito ao Procurador-Geral da República e ao quinto constitucional.</w:t>
      </w:r>
    </w:p>
    <w:p w:rsidR="006F7260" w:rsidRDefault="00C31C0A">
      <w:pPr>
        <w:pStyle w:val="artigo"/>
        <w:numPr>
          <w:ilvl w:val="0"/>
          <w:numId w:val="4"/>
        </w:numPr>
        <w:spacing w:before="0" w:after="0"/>
        <w:ind w:left="709"/>
        <w:jc w:val="both"/>
      </w:pPr>
      <w:r>
        <w:rPr>
          <w:rFonts w:ascii="Arial" w:hAnsi="Arial" w:cs="Arial"/>
          <w:sz w:val="20"/>
          <w:szCs w:val="20"/>
        </w:rPr>
        <w:t>Em 1946, a Constituição se refer</w:t>
      </w:r>
      <w:r>
        <w:rPr>
          <w:rFonts w:ascii="Arial" w:hAnsi="Arial" w:cs="Arial"/>
          <w:sz w:val="20"/>
          <w:szCs w:val="20"/>
        </w:rPr>
        <w:t>e expressamente ao Ministério Público em título próprio, nos artigos 125 a 128,  sem vinculação aos poderes.</w:t>
      </w:r>
    </w:p>
    <w:p w:rsidR="006F7260" w:rsidRDefault="00C31C0A">
      <w:pPr>
        <w:pStyle w:val="artigo"/>
        <w:numPr>
          <w:ilvl w:val="0"/>
          <w:numId w:val="4"/>
        </w:numPr>
        <w:spacing w:before="0" w:after="0"/>
        <w:ind w:left="709"/>
        <w:jc w:val="both"/>
      </w:pPr>
      <w:r>
        <w:rPr>
          <w:rFonts w:ascii="Arial" w:hAnsi="Arial" w:cs="Arial"/>
          <w:sz w:val="20"/>
          <w:szCs w:val="20"/>
        </w:rPr>
        <w:t>Em 1951, a criação do Ministério Público da União (MPU) consolida-se com a lei federal nº 1.341. A legislação previa que o MPU estaria vinculado ao</w:t>
      </w:r>
      <w:r>
        <w:rPr>
          <w:rFonts w:ascii="Arial" w:hAnsi="Arial" w:cs="Arial"/>
          <w:sz w:val="20"/>
          <w:szCs w:val="20"/>
        </w:rPr>
        <w:t xml:space="preserve"> Poder Executivo e também dispunha sobre as ramificações em Ministério Público Federal, Militar, Eleitoral e do Trabalho.</w:t>
      </w:r>
    </w:p>
    <w:p w:rsidR="006F7260" w:rsidRDefault="00C31C0A">
      <w:pPr>
        <w:pStyle w:val="artigo"/>
        <w:numPr>
          <w:ilvl w:val="0"/>
          <w:numId w:val="4"/>
        </w:numPr>
        <w:spacing w:before="0" w:after="0"/>
        <w:ind w:left="709"/>
        <w:jc w:val="both"/>
      </w:pPr>
      <w:r>
        <w:rPr>
          <w:rFonts w:ascii="Arial" w:hAnsi="Arial" w:cs="Arial"/>
          <w:sz w:val="20"/>
          <w:szCs w:val="20"/>
        </w:rPr>
        <w:t>Em 1967, a Constituição faz referência expressa ao Ministério Público no capítulo destinado ao Poder Judiciário.</w:t>
      </w:r>
    </w:p>
    <w:p w:rsidR="006F7260" w:rsidRDefault="00C31C0A">
      <w:pPr>
        <w:pStyle w:val="artigo"/>
        <w:numPr>
          <w:ilvl w:val="0"/>
          <w:numId w:val="4"/>
        </w:numPr>
        <w:spacing w:before="0" w:after="0"/>
        <w:ind w:left="709"/>
        <w:jc w:val="both"/>
      </w:pPr>
      <w:r>
        <w:rPr>
          <w:rFonts w:ascii="Arial" w:hAnsi="Arial" w:cs="Arial"/>
          <w:sz w:val="20"/>
          <w:szCs w:val="20"/>
        </w:rPr>
        <w:t>Em 1969, a Emenda con</w:t>
      </w:r>
      <w:r>
        <w:rPr>
          <w:rFonts w:ascii="Arial" w:hAnsi="Arial" w:cs="Arial"/>
          <w:sz w:val="20"/>
          <w:szCs w:val="20"/>
        </w:rPr>
        <w:t>stitucional refere-se ao Ministério Público no capítulo destinado ao Poder Executivo.</w:t>
      </w:r>
    </w:p>
    <w:p w:rsidR="006F7260" w:rsidRDefault="00C31C0A">
      <w:pPr>
        <w:pStyle w:val="artigo"/>
        <w:numPr>
          <w:ilvl w:val="0"/>
          <w:numId w:val="4"/>
        </w:numPr>
        <w:spacing w:before="0" w:after="0"/>
        <w:ind w:left="709"/>
        <w:jc w:val="both"/>
      </w:pPr>
      <w:r>
        <w:rPr>
          <w:rFonts w:ascii="Arial" w:hAnsi="Arial" w:cs="Arial"/>
          <w:sz w:val="20"/>
          <w:szCs w:val="20"/>
        </w:rPr>
        <w:t>Em 1981, o estatuto do Ministério Público é formalizado pela Lei Complementar nº 40, que instituiu garantias, atribuições e vedações aos membros do órgão.</w:t>
      </w:r>
    </w:p>
    <w:p w:rsidR="006F7260" w:rsidRDefault="00C31C0A">
      <w:pPr>
        <w:pStyle w:val="artigo"/>
        <w:numPr>
          <w:ilvl w:val="0"/>
          <w:numId w:val="4"/>
        </w:numPr>
        <w:spacing w:before="0" w:after="0"/>
        <w:ind w:left="709"/>
        <w:jc w:val="both"/>
      </w:pPr>
      <w:r>
        <w:rPr>
          <w:rFonts w:ascii="Arial" w:hAnsi="Arial" w:cs="Arial"/>
          <w:sz w:val="20"/>
          <w:szCs w:val="20"/>
        </w:rPr>
        <w:t>Em 1985, a área</w:t>
      </w:r>
      <w:r>
        <w:rPr>
          <w:rFonts w:ascii="Arial" w:hAnsi="Arial" w:cs="Arial"/>
          <w:sz w:val="20"/>
          <w:szCs w:val="20"/>
        </w:rPr>
        <w:t xml:space="preserve"> de atuação do MP foi ampliada com a lei 7.347 de Ação Civil Pública, que atribuiu </w:t>
      </w:r>
      <w:proofErr w:type="gramStart"/>
      <w:r>
        <w:rPr>
          <w:rFonts w:ascii="Arial" w:hAnsi="Arial" w:cs="Arial"/>
          <w:sz w:val="20"/>
          <w:szCs w:val="20"/>
        </w:rPr>
        <w:t>a</w:t>
      </w:r>
      <w:proofErr w:type="gramEnd"/>
      <w:r>
        <w:rPr>
          <w:rFonts w:ascii="Arial" w:hAnsi="Arial" w:cs="Arial"/>
          <w:sz w:val="20"/>
          <w:szCs w:val="20"/>
        </w:rPr>
        <w:t xml:space="preserve"> função de defesa dos interesses difusos e coletivos.</w:t>
      </w:r>
    </w:p>
    <w:p w:rsidR="006F7260" w:rsidRDefault="00C31C0A">
      <w:pPr>
        <w:pStyle w:val="artigo"/>
        <w:numPr>
          <w:ilvl w:val="0"/>
          <w:numId w:val="4"/>
        </w:numPr>
        <w:spacing w:before="0" w:after="0"/>
        <w:ind w:left="709"/>
        <w:jc w:val="both"/>
      </w:pPr>
      <w:r>
        <w:rPr>
          <w:rFonts w:ascii="Arial" w:hAnsi="Arial" w:cs="Arial"/>
          <w:sz w:val="20"/>
          <w:szCs w:val="20"/>
        </w:rPr>
        <w:t xml:space="preserve">Em 1988, a Constituição faz referência expressa ao Ministério Público no capítulo ‘Das funções essenciais à Justiça’, </w:t>
      </w:r>
      <w:r>
        <w:rPr>
          <w:rFonts w:ascii="Arial" w:hAnsi="Arial" w:cs="Arial"/>
          <w:sz w:val="20"/>
          <w:szCs w:val="20"/>
        </w:rPr>
        <w:t>definindo as funções institucionais, as garantias e as vedações de seus membros.</w:t>
      </w:r>
    </w:p>
    <w:p w:rsidR="006F7260" w:rsidRDefault="00C31C0A">
      <w:pPr>
        <w:pStyle w:val="artigo"/>
        <w:numPr>
          <w:ilvl w:val="0"/>
          <w:numId w:val="4"/>
        </w:numPr>
        <w:spacing w:before="0" w:after="0"/>
        <w:ind w:left="709"/>
        <w:jc w:val="both"/>
      </w:pPr>
      <w:r>
        <w:rPr>
          <w:rFonts w:ascii="Arial" w:hAnsi="Arial" w:cs="Arial"/>
          <w:sz w:val="20"/>
          <w:szCs w:val="20"/>
        </w:rPr>
        <w:t xml:space="preserve">Com a Constituição de 88, na área cível, o Ministério Público adquiriu novas funções, destacando a sua atuação na tutela dos interesses difusos e coletivos, como meio </w:t>
      </w:r>
      <w:r>
        <w:rPr>
          <w:rFonts w:ascii="Arial" w:hAnsi="Arial" w:cs="Arial"/>
          <w:sz w:val="20"/>
          <w:szCs w:val="20"/>
        </w:rPr>
        <w:t>ambiente, consumidor, patrimônio histórico, turístico e paisagístico; pessoa portadora de deficiência; criança e adolescente, comunidades indígenas e minorias ético-sociais. Atribuições que ampliaram a evidência do Ministério Público na sociedade, transfor</w:t>
      </w:r>
      <w:r>
        <w:rPr>
          <w:rFonts w:ascii="Arial" w:hAnsi="Arial" w:cs="Arial"/>
          <w:sz w:val="20"/>
          <w:szCs w:val="20"/>
        </w:rPr>
        <w:t>mando a instituição num braço da população brasileira.</w:t>
      </w:r>
    </w:p>
    <w:p w:rsidR="006F7260" w:rsidRDefault="006F7260">
      <w:pPr>
        <w:pStyle w:val="artigo"/>
        <w:spacing w:before="0" w:after="0"/>
        <w:ind w:left="709"/>
        <w:jc w:val="both"/>
      </w:pPr>
    </w:p>
    <w:p w:rsidR="006F7260" w:rsidRDefault="00C31C0A">
      <w:pPr>
        <w:pStyle w:val="artigo"/>
        <w:spacing w:before="0" w:after="0"/>
        <w:ind w:left="709"/>
        <w:jc w:val="both"/>
      </w:pPr>
      <w:r>
        <w:rPr>
          <w:rFonts w:ascii="Arial" w:hAnsi="Arial" w:cs="Arial"/>
          <w:b/>
          <w:bCs/>
          <w:sz w:val="20"/>
          <w:szCs w:val="20"/>
        </w:rPr>
        <w:t xml:space="preserve">Fontes: CNMP, MPU, artigo </w:t>
      </w:r>
      <w:r w:rsidR="00826FFA">
        <w:rPr>
          <w:rFonts w:ascii="Arial" w:hAnsi="Arial" w:cs="Arial"/>
          <w:b/>
          <w:bCs/>
          <w:sz w:val="20"/>
          <w:szCs w:val="20"/>
        </w:rPr>
        <w:t>“</w:t>
      </w:r>
      <w:r>
        <w:rPr>
          <w:rFonts w:ascii="Arial" w:hAnsi="Arial" w:cs="Arial"/>
          <w:b/>
          <w:bCs/>
          <w:sz w:val="20"/>
          <w:szCs w:val="20"/>
        </w:rPr>
        <w:t>Ministério Público: Aspectos históricos</w:t>
      </w:r>
      <w:r w:rsidR="00826FFA">
        <w:rPr>
          <w:rFonts w:ascii="Arial" w:hAnsi="Arial" w:cs="Arial"/>
          <w:b/>
          <w:bCs/>
          <w:sz w:val="20"/>
          <w:szCs w:val="20"/>
        </w:rPr>
        <w:t>”</w:t>
      </w:r>
      <w:r>
        <w:rPr>
          <w:rFonts w:ascii="Arial" w:hAnsi="Arial" w:cs="Arial"/>
          <w:b/>
          <w:bCs/>
          <w:sz w:val="20"/>
          <w:szCs w:val="20"/>
        </w:rPr>
        <w:t>, de Victor Roberto Corrêa de Souza</w:t>
      </w:r>
      <w:proofErr w:type="gramStart"/>
      <w:r>
        <w:rPr>
          <w:rStyle w:val="ncoradanotaderodap"/>
          <w:rFonts w:ascii="Arial" w:hAnsi="Arial" w:cs="Arial"/>
          <w:b/>
          <w:bCs/>
          <w:sz w:val="20"/>
          <w:szCs w:val="20"/>
        </w:rPr>
        <w:footnoteReference w:id="1"/>
      </w:r>
      <w:proofErr w:type="gramEnd"/>
    </w:p>
    <w:p w:rsidR="006F7260" w:rsidRDefault="006F7260">
      <w:pPr>
        <w:pStyle w:val="artigo"/>
        <w:spacing w:before="0" w:after="0"/>
        <w:ind w:firstLine="567"/>
        <w:jc w:val="both"/>
      </w:pPr>
    </w:p>
    <w:p w:rsidR="006F7260" w:rsidRDefault="006F7260">
      <w:pPr>
        <w:pStyle w:val="artigo"/>
        <w:spacing w:before="0" w:after="0"/>
        <w:ind w:firstLine="567"/>
        <w:jc w:val="both"/>
      </w:pPr>
    </w:p>
    <w:p w:rsidR="006F7260" w:rsidRDefault="006F7260">
      <w:pPr>
        <w:pStyle w:val="artigo"/>
        <w:spacing w:before="0" w:after="0"/>
        <w:ind w:firstLine="567"/>
        <w:jc w:val="both"/>
      </w:pPr>
    </w:p>
    <w:p w:rsidR="006F7260" w:rsidRDefault="006F7260">
      <w:pPr>
        <w:pStyle w:val="artigo"/>
        <w:spacing w:before="0" w:after="0"/>
        <w:jc w:val="both"/>
      </w:pPr>
    </w:p>
    <w:p w:rsidR="006F7260" w:rsidRDefault="006F7260">
      <w:pPr>
        <w:pStyle w:val="Estilopadro"/>
      </w:pPr>
    </w:p>
    <w:p w:rsidR="006F7260" w:rsidRDefault="002E32DE">
      <w:pPr>
        <w:pStyle w:val="Estilopadro"/>
        <w:pageBreakBefore/>
      </w:pPr>
      <w:r>
        <w:rPr>
          <w:rFonts w:ascii="Arial" w:hAnsi="Arial" w:cs="Arial"/>
          <w:b/>
          <w:bCs/>
          <w:sz w:val="20"/>
          <w:szCs w:val="20"/>
        </w:rPr>
        <w:lastRenderedPageBreak/>
        <w:t>Anexo</w:t>
      </w:r>
      <w:r w:rsidR="00C31C0A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gramStart"/>
      <w:r w:rsidR="00C31C0A">
        <w:rPr>
          <w:rFonts w:ascii="Arial" w:hAnsi="Arial" w:cs="Arial"/>
          <w:b/>
          <w:bCs/>
          <w:sz w:val="20"/>
          <w:szCs w:val="20"/>
        </w:rPr>
        <w:t>6</w:t>
      </w:r>
      <w:proofErr w:type="gramEnd"/>
      <w:r w:rsidR="00C31C0A">
        <w:rPr>
          <w:rFonts w:ascii="Arial" w:hAnsi="Arial" w:cs="Arial"/>
          <w:b/>
          <w:bCs/>
          <w:sz w:val="20"/>
          <w:szCs w:val="20"/>
        </w:rPr>
        <w:t>:</w:t>
      </w:r>
      <w:r w:rsidR="00C31C0A">
        <w:rPr>
          <w:rFonts w:ascii="Arial" w:hAnsi="Arial" w:cs="Arial"/>
          <w:sz w:val="20"/>
          <w:szCs w:val="20"/>
        </w:rPr>
        <w:t xml:space="preserve"> Procuradores-gerais durante o regime militar</w:t>
      </w:r>
    </w:p>
    <w:p w:rsidR="006F7260" w:rsidRDefault="006F7260">
      <w:pPr>
        <w:pStyle w:val="Estilopadro"/>
      </w:pPr>
    </w:p>
    <w:tbl>
      <w:tblPr>
        <w:tblW w:w="0" w:type="auto"/>
        <w:jc w:val="center"/>
        <w:tblInd w:w="15" w:type="dxa"/>
        <w:tblBorders>
          <w:top w:val="single" w:sz="6" w:space="0" w:color="000001"/>
          <w:left w:val="single" w:sz="6" w:space="0" w:color="000001"/>
          <w:bottom w:val="single" w:sz="6" w:space="0" w:color="000001"/>
          <w:insideH w:val="single" w:sz="6" w:space="0" w:color="000001"/>
        </w:tblBorders>
        <w:tblCellMar>
          <w:top w:w="15" w:type="dxa"/>
          <w:left w:w="7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9"/>
        <w:gridCol w:w="718"/>
        <w:gridCol w:w="658"/>
        <w:gridCol w:w="6095"/>
        <w:gridCol w:w="851"/>
        <w:gridCol w:w="849"/>
      </w:tblGrid>
      <w:tr w:rsidR="006F7260">
        <w:trPr>
          <w:jc w:val="center"/>
        </w:trPr>
        <w:tc>
          <w:tcPr>
            <w:tcW w:w="5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br/>
            </w:r>
            <w:r>
              <w:rPr>
                <w:rStyle w:val="nfaseforte"/>
                <w:rFonts w:ascii="Arial" w:hAnsi="Arial" w:cs="Arial"/>
                <w:bCs w:val="0"/>
                <w:sz w:val="20"/>
                <w:szCs w:val="20"/>
              </w:rPr>
              <w:t>Nº</w:t>
            </w:r>
          </w:p>
        </w:tc>
        <w:tc>
          <w:tcPr>
            <w:tcW w:w="1376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Style w:val="nfaseforte"/>
                <w:rFonts w:ascii="Arial" w:hAnsi="Arial" w:cs="Arial"/>
                <w:bCs w:val="0"/>
                <w:sz w:val="20"/>
                <w:szCs w:val="20"/>
              </w:rPr>
              <w:t>POSSE</w:t>
            </w:r>
          </w:p>
        </w:tc>
        <w:tc>
          <w:tcPr>
            <w:tcW w:w="60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Style w:val="nfaseforte"/>
                <w:rFonts w:ascii="Arial" w:hAnsi="Arial" w:cs="Arial"/>
                <w:bCs w:val="0"/>
                <w:sz w:val="20"/>
                <w:szCs w:val="20"/>
              </w:rPr>
              <w:t>PROCURADORES-GERAIS DE JUS</w:t>
            </w:r>
            <w:r>
              <w:rPr>
                <w:rStyle w:val="nfaseforte"/>
                <w:rFonts w:ascii="Arial" w:hAnsi="Arial" w:cs="Arial"/>
                <w:bCs w:val="0"/>
                <w:sz w:val="20"/>
                <w:szCs w:val="20"/>
              </w:rPr>
              <w:t>TIÇA – 1963 – 1988</w:t>
            </w:r>
          </w:p>
        </w:tc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Style w:val="nfaseforte"/>
                <w:rFonts w:ascii="Arial" w:hAnsi="Arial" w:cs="Arial"/>
                <w:bCs w:val="0"/>
                <w:sz w:val="20"/>
                <w:szCs w:val="20"/>
              </w:rPr>
              <w:t>AAAAN</w:t>
            </w:r>
          </w:p>
        </w:tc>
        <w:tc>
          <w:tcPr>
            <w:tcW w:w="8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Style w:val="nfaseforte"/>
                <w:rFonts w:ascii="Arial" w:hAnsi="Arial" w:cs="Arial"/>
                <w:bCs w:val="0"/>
                <w:sz w:val="20"/>
                <w:szCs w:val="20"/>
              </w:rPr>
              <w:t>AAAAF</w:t>
            </w:r>
          </w:p>
        </w:tc>
      </w:tr>
      <w:tr w:rsidR="006F7260">
        <w:trPr>
          <w:jc w:val="center"/>
        </w:trPr>
        <w:tc>
          <w:tcPr>
            <w:tcW w:w="599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55º</w:t>
            </w:r>
          </w:p>
        </w:tc>
        <w:tc>
          <w:tcPr>
            <w:tcW w:w="718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1985</w:t>
            </w:r>
          </w:p>
        </w:tc>
        <w:tc>
          <w:tcPr>
            <w:tcW w:w="658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6095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Style w:val="LinkdaInternet"/>
                <w:rFonts w:ascii="Arial" w:hAnsi="Arial" w:cs="Arial"/>
                <w:color w:val="00000A"/>
                <w:sz w:val="20"/>
                <w:szCs w:val="20"/>
                <w:u w:val="none"/>
                <w:lang w:val="pt-BR"/>
              </w:rPr>
              <w:t>Jerônimo de Albuquerque Maranhão</w:t>
            </w:r>
            <w:r>
              <w:rPr>
                <w:rFonts w:ascii="Arial" w:hAnsi="Arial" w:cs="Arial"/>
                <w:b/>
                <w:sz w:val="20"/>
                <w:szCs w:val="20"/>
                <w:lang w:val="pt-BR"/>
              </w:rPr>
              <w:br/>
            </w:r>
            <w:proofErr w:type="gramStart"/>
            <w:r>
              <w:rPr>
                <w:rFonts w:ascii="Arial" w:hAnsi="Arial" w:cs="Arial"/>
                <w:sz w:val="20"/>
                <w:szCs w:val="20"/>
                <w:lang w:val="pt-BR"/>
              </w:rPr>
              <w:t>(</w:t>
            </w:r>
            <w:proofErr w:type="gramEnd"/>
            <w:r>
              <w:rPr>
                <w:rFonts w:ascii="Arial" w:hAnsi="Arial" w:cs="Arial"/>
                <w:sz w:val="20"/>
                <w:szCs w:val="20"/>
                <w:lang w:val="pt-BR"/>
              </w:rPr>
              <w:t>Manaus - AM)</w:t>
            </w:r>
          </w:p>
        </w:tc>
        <w:tc>
          <w:tcPr>
            <w:tcW w:w="851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1925</w:t>
            </w:r>
          </w:p>
        </w:tc>
        <w:tc>
          <w:tcPr>
            <w:tcW w:w="849" w:type="dxa"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1995</w:t>
            </w:r>
          </w:p>
        </w:tc>
      </w:tr>
      <w:tr w:rsidR="006F7260">
        <w:trPr>
          <w:jc w:val="center"/>
        </w:trPr>
        <w:tc>
          <w:tcPr>
            <w:tcW w:w="599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54º</w:t>
            </w:r>
          </w:p>
        </w:tc>
        <w:tc>
          <w:tcPr>
            <w:tcW w:w="718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1983</w:t>
            </w:r>
          </w:p>
        </w:tc>
        <w:tc>
          <w:tcPr>
            <w:tcW w:w="658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1985</w:t>
            </w:r>
          </w:p>
        </w:tc>
        <w:tc>
          <w:tcPr>
            <w:tcW w:w="6095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proofErr w:type="spellStart"/>
            <w:r>
              <w:rPr>
                <w:rStyle w:val="LinkdaInternet"/>
                <w:rFonts w:ascii="Arial" w:hAnsi="Arial" w:cs="Arial"/>
                <w:color w:val="00000A"/>
                <w:sz w:val="20"/>
                <w:szCs w:val="20"/>
                <w:u w:val="none"/>
                <w:lang w:val="pt-BR"/>
              </w:rPr>
              <w:t>Josaphat</w:t>
            </w:r>
            <w:proofErr w:type="spellEnd"/>
            <w:r>
              <w:rPr>
                <w:rStyle w:val="LinkdaInternet"/>
                <w:rFonts w:ascii="Arial" w:hAnsi="Arial" w:cs="Arial"/>
                <w:color w:val="00000A"/>
                <w:sz w:val="20"/>
                <w:szCs w:val="20"/>
                <w:u w:val="none"/>
                <w:lang w:val="pt-BR"/>
              </w:rPr>
              <w:t xml:space="preserve"> Porto Lona Cleto</w:t>
            </w:r>
            <w:r>
              <w:rPr>
                <w:rFonts w:ascii="Arial" w:hAnsi="Arial" w:cs="Arial"/>
                <w:b/>
                <w:sz w:val="20"/>
                <w:szCs w:val="20"/>
                <w:lang w:val="pt-BR"/>
              </w:rPr>
              <w:br/>
            </w:r>
            <w:proofErr w:type="gramStart"/>
            <w:r>
              <w:rPr>
                <w:rFonts w:ascii="Arial" w:hAnsi="Arial" w:cs="Arial"/>
                <w:sz w:val="20"/>
                <w:szCs w:val="20"/>
                <w:lang w:val="pt-BR"/>
              </w:rPr>
              <w:t>(</w:t>
            </w:r>
            <w:proofErr w:type="gramEnd"/>
            <w:r>
              <w:rPr>
                <w:rFonts w:ascii="Arial" w:hAnsi="Arial" w:cs="Arial"/>
                <w:sz w:val="20"/>
                <w:szCs w:val="20"/>
                <w:lang w:val="pt-BR"/>
              </w:rPr>
              <w:t>Porto União - PR)</w:t>
            </w:r>
          </w:p>
        </w:tc>
        <w:tc>
          <w:tcPr>
            <w:tcW w:w="851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1930</w:t>
            </w:r>
          </w:p>
        </w:tc>
        <w:tc>
          <w:tcPr>
            <w:tcW w:w="849" w:type="dxa"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-</w:t>
            </w:r>
          </w:p>
        </w:tc>
      </w:tr>
      <w:tr w:rsidR="006F7260">
        <w:trPr>
          <w:jc w:val="center"/>
        </w:trPr>
        <w:tc>
          <w:tcPr>
            <w:tcW w:w="599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53º</w:t>
            </w:r>
          </w:p>
        </w:tc>
        <w:tc>
          <w:tcPr>
            <w:tcW w:w="718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1982</w:t>
            </w:r>
          </w:p>
        </w:tc>
        <w:tc>
          <w:tcPr>
            <w:tcW w:w="658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1983</w:t>
            </w:r>
          </w:p>
        </w:tc>
        <w:tc>
          <w:tcPr>
            <w:tcW w:w="6095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Style w:val="LinkdaInternet"/>
                <w:rFonts w:ascii="Arial" w:hAnsi="Arial" w:cs="Arial"/>
                <w:color w:val="00000A"/>
                <w:sz w:val="20"/>
                <w:szCs w:val="20"/>
                <w:u w:val="none"/>
                <w:lang w:val="pt-BR"/>
              </w:rPr>
              <w:t>Murilo Rodrigues Cordeiro</w:t>
            </w:r>
            <w:r>
              <w:rPr>
                <w:rFonts w:ascii="Arial" w:hAnsi="Arial" w:cs="Arial"/>
                <w:b/>
                <w:sz w:val="20"/>
                <w:szCs w:val="20"/>
                <w:lang w:val="pt-BR"/>
              </w:rPr>
              <w:br/>
            </w:r>
            <w:proofErr w:type="gramStart"/>
            <w:r>
              <w:rPr>
                <w:rFonts w:ascii="Arial" w:hAnsi="Arial" w:cs="Arial"/>
                <w:sz w:val="20"/>
                <w:szCs w:val="20"/>
                <w:lang w:val="pt-BR"/>
              </w:rPr>
              <w:t>(</w:t>
            </w:r>
            <w:proofErr w:type="gramEnd"/>
            <w:r>
              <w:rPr>
                <w:rFonts w:ascii="Arial" w:hAnsi="Arial" w:cs="Arial"/>
                <w:sz w:val="20"/>
                <w:szCs w:val="20"/>
                <w:lang w:val="pt-BR"/>
              </w:rPr>
              <w:t>Castro - PR)</w:t>
            </w:r>
          </w:p>
        </w:tc>
        <w:tc>
          <w:tcPr>
            <w:tcW w:w="851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1935</w:t>
            </w:r>
          </w:p>
        </w:tc>
        <w:tc>
          <w:tcPr>
            <w:tcW w:w="849" w:type="dxa"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-</w:t>
            </w:r>
          </w:p>
        </w:tc>
      </w:tr>
      <w:tr w:rsidR="006F7260">
        <w:trPr>
          <w:jc w:val="center"/>
        </w:trPr>
        <w:tc>
          <w:tcPr>
            <w:tcW w:w="599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52º</w:t>
            </w:r>
          </w:p>
        </w:tc>
        <w:tc>
          <w:tcPr>
            <w:tcW w:w="718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1979</w:t>
            </w:r>
          </w:p>
        </w:tc>
        <w:tc>
          <w:tcPr>
            <w:tcW w:w="658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1982</w:t>
            </w:r>
          </w:p>
        </w:tc>
        <w:tc>
          <w:tcPr>
            <w:tcW w:w="6095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Style w:val="LinkdaInternet"/>
                <w:rFonts w:ascii="Arial" w:hAnsi="Arial" w:cs="Arial"/>
                <w:color w:val="00000A"/>
                <w:sz w:val="20"/>
                <w:szCs w:val="20"/>
                <w:u w:val="none"/>
                <w:lang w:val="pt-BR"/>
              </w:rPr>
              <w:t xml:space="preserve">Henrique </w:t>
            </w:r>
            <w:proofErr w:type="spellStart"/>
            <w:r>
              <w:rPr>
                <w:rStyle w:val="LinkdaInternet"/>
                <w:rFonts w:ascii="Arial" w:hAnsi="Arial" w:cs="Arial"/>
                <w:color w:val="00000A"/>
                <w:sz w:val="20"/>
                <w:szCs w:val="20"/>
                <w:u w:val="none"/>
                <w:lang w:val="pt-BR"/>
              </w:rPr>
              <w:t>Chesneau</w:t>
            </w:r>
            <w:proofErr w:type="spellEnd"/>
            <w:r>
              <w:rPr>
                <w:rStyle w:val="LinkdaInternet"/>
                <w:rFonts w:ascii="Arial" w:hAnsi="Arial" w:cs="Arial"/>
                <w:color w:val="00000A"/>
                <w:sz w:val="20"/>
                <w:szCs w:val="20"/>
                <w:u w:val="none"/>
                <w:lang w:val="pt-BR"/>
              </w:rPr>
              <w:t xml:space="preserve"> </w:t>
            </w:r>
            <w:proofErr w:type="spellStart"/>
            <w:r>
              <w:rPr>
                <w:rStyle w:val="LinkdaInternet"/>
                <w:rFonts w:ascii="Arial" w:hAnsi="Arial" w:cs="Arial"/>
                <w:color w:val="00000A"/>
                <w:sz w:val="20"/>
                <w:szCs w:val="20"/>
                <w:u w:val="none"/>
                <w:lang w:val="pt-BR"/>
              </w:rPr>
              <w:t>Lenz</w:t>
            </w:r>
            <w:proofErr w:type="spellEnd"/>
            <w:r>
              <w:rPr>
                <w:rStyle w:val="LinkdaInternet"/>
                <w:rFonts w:ascii="Arial" w:hAnsi="Arial" w:cs="Arial"/>
                <w:color w:val="00000A"/>
                <w:sz w:val="20"/>
                <w:szCs w:val="20"/>
                <w:u w:val="none"/>
                <w:lang w:val="pt-BR"/>
              </w:rPr>
              <w:t xml:space="preserve"> César</w:t>
            </w:r>
            <w:r>
              <w:rPr>
                <w:rFonts w:ascii="Arial" w:hAnsi="Arial" w:cs="Arial"/>
                <w:b/>
                <w:sz w:val="20"/>
                <w:szCs w:val="20"/>
                <w:lang w:val="pt-BR"/>
              </w:rPr>
              <w:br/>
            </w:r>
            <w:proofErr w:type="gramStart"/>
            <w:r>
              <w:rPr>
                <w:rFonts w:ascii="Arial" w:hAnsi="Arial" w:cs="Arial"/>
                <w:sz w:val="20"/>
                <w:szCs w:val="20"/>
                <w:lang w:val="pt-BR"/>
              </w:rPr>
              <w:t>(</w:t>
            </w:r>
            <w:proofErr w:type="gramEnd"/>
            <w:r>
              <w:rPr>
                <w:rFonts w:ascii="Arial" w:hAnsi="Arial" w:cs="Arial"/>
                <w:sz w:val="20"/>
                <w:szCs w:val="20"/>
                <w:lang w:val="pt-BR"/>
              </w:rPr>
              <w:t>Curitiba - PR)</w:t>
            </w:r>
          </w:p>
        </w:tc>
        <w:tc>
          <w:tcPr>
            <w:tcW w:w="851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1929</w:t>
            </w:r>
          </w:p>
        </w:tc>
        <w:tc>
          <w:tcPr>
            <w:tcW w:w="849" w:type="dxa"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2002</w:t>
            </w:r>
          </w:p>
        </w:tc>
      </w:tr>
      <w:tr w:rsidR="006F7260">
        <w:trPr>
          <w:jc w:val="center"/>
        </w:trPr>
        <w:tc>
          <w:tcPr>
            <w:tcW w:w="599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51º</w:t>
            </w:r>
          </w:p>
        </w:tc>
        <w:tc>
          <w:tcPr>
            <w:tcW w:w="718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1979</w:t>
            </w:r>
          </w:p>
        </w:tc>
        <w:tc>
          <w:tcPr>
            <w:tcW w:w="658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826FF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t>–</w:t>
            </w:r>
          </w:p>
        </w:tc>
        <w:tc>
          <w:tcPr>
            <w:tcW w:w="6095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Style w:val="LinkdaInternet"/>
                <w:rFonts w:ascii="Arial" w:hAnsi="Arial" w:cs="Arial"/>
                <w:color w:val="00000A"/>
                <w:sz w:val="20"/>
                <w:szCs w:val="20"/>
                <w:u w:val="none"/>
                <w:lang w:val="pt-BR"/>
              </w:rPr>
              <w:t xml:space="preserve">Eros Nascimento </w:t>
            </w:r>
            <w:proofErr w:type="spellStart"/>
            <w:r>
              <w:rPr>
                <w:rStyle w:val="LinkdaInternet"/>
                <w:rFonts w:ascii="Arial" w:hAnsi="Arial" w:cs="Arial"/>
                <w:color w:val="00000A"/>
                <w:sz w:val="20"/>
                <w:szCs w:val="20"/>
                <w:u w:val="none"/>
                <w:lang w:val="pt-BR"/>
              </w:rPr>
              <w:t>Gradowsky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  <w:lang w:val="pt-BR"/>
              </w:rPr>
              <w:br/>
            </w:r>
            <w:proofErr w:type="gramStart"/>
            <w:r>
              <w:rPr>
                <w:rFonts w:ascii="Arial" w:hAnsi="Arial" w:cs="Arial"/>
                <w:sz w:val="20"/>
                <w:szCs w:val="20"/>
                <w:lang w:val="pt-BR"/>
              </w:rPr>
              <w:t>(</w:t>
            </w:r>
            <w:proofErr w:type="gramEnd"/>
            <w:r>
              <w:rPr>
                <w:rFonts w:ascii="Arial" w:hAnsi="Arial" w:cs="Arial"/>
                <w:sz w:val="20"/>
                <w:szCs w:val="20"/>
                <w:lang w:val="pt-BR"/>
              </w:rPr>
              <w:t>Curitiba - PR)</w:t>
            </w:r>
          </w:p>
        </w:tc>
        <w:tc>
          <w:tcPr>
            <w:tcW w:w="851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1926</w:t>
            </w:r>
          </w:p>
        </w:tc>
        <w:tc>
          <w:tcPr>
            <w:tcW w:w="849" w:type="dxa"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1994</w:t>
            </w:r>
          </w:p>
        </w:tc>
      </w:tr>
      <w:tr w:rsidR="006F7260">
        <w:trPr>
          <w:jc w:val="center"/>
        </w:trPr>
        <w:tc>
          <w:tcPr>
            <w:tcW w:w="599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50º</w:t>
            </w:r>
          </w:p>
        </w:tc>
        <w:tc>
          <w:tcPr>
            <w:tcW w:w="718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1975</w:t>
            </w:r>
          </w:p>
        </w:tc>
        <w:tc>
          <w:tcPr>
            <w:tcW w:w="658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1979</w:t>
            </w:r>
          </w:p>
        </w:tc>
        <w:tc>
          <w:tcPr>
            <w:tcW w:w="6095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proofErr w:type="spellStart"/>
            <w:r>
              <w:rPr>
                <w:rStyle w:val="LinkdaInternet"/>
                <w:rFonts w:ascii="Arial" w:hAnsi="Arial" w:cs="Arial"/>
                <w:color w:val="00000A"/>
                <w:sz w:val="20"/>
                <w:szCs w:val="20"/>
                <w:u w:val="none"/>
              </w:rPr>
              <w:t>Guilherme</w:t>
            </w:r>
            <w:proofErr w:type="spellEnd"/>
            <w:r>
              <w:rPr>
                <w:rStyle w:val="LinkdaInternet"/>
                <w:rFonts w:ascii="Arial" w:hAnsi="Arial" w:cs="Arial"/>
                <w:color w:val="00000A"/>
                <w:sz w:val="20"/>
                <w:szCs w:val="20"/>
                <w:u w:val="none"/>
              </w:rPr>
              <w:t xml:space="preserve"> de Albuquerque Maranhão</w:t>
            </w:r>
          </w:p>
        </w:tc>
        <w:tc>
          <w:tcPr>
            <w:tcW w:w="851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1915</w:t>
            </w:r>
          </w:p>
        </w:tc>
        <w:tc>
          <w:tcPr>
            <w:tcW w:w="849" w:type="dxa"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1997</w:t>
            </w:r>
          </w:p>
        </w:tc>
      </w:tr>
      <w:tr w:rsidR="006F7260">
        <w:trPr>
          <w:jc w:val="center"/>
        </w:trPr>
        <w:tc>
          <w:tcPr>
            <w:tcW w:w="599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49º</w:t>
            </w:r>
          </w:p>
        </w:tc>
        <w:tc>
          <w:tcPr>
            <w:tcW w:w="718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1973</w:t>
            </w:r>
          </w:p>
        </w:tc>
        <w:tc>
          <w:tcPr>
            <w:tcW w:w="658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1974</w:t>
            </w:r>
          </w:p>
        </w:tc>
        <w:tc>
          <w:tcPr>
            <w:tcW w:w="6095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proofErr w:type="spellStart"/>
            <w:r>
              <w:rPr>
                <w:rStyle w:val="LinkdaInternet"/>
                <w:rFonts w:ascii="Arial" w:hAnsi="Arial" w:cs="Arial"/>
                <w:color w:val="00000A"/>
                <w:sz w:val="20"/>
                <w:szCs w:val="20"/>
                <w:u w:val="none"/>
                <w:lang w:val="pt-BR"/>
              </w:rPr>
              <w:t>Acyr</w:t>
            </w:r>
            <w:proofErr w:type="spellEnd"/>
            <w:r>
              <w:rPr>
                <w:rStyle w:val="LinkdaInternet"/>
                <w:rFonts w:ascii="Arial" w:hAnsi="Arial" w:cs="Arial"/>
                <w:color w:val="00000A"/>
                <w:sz w:val="20"/>
                <w:szCs w:val="20"/>
                <w:u w:val="none"/>
                <w:lang w:val="pt-BR"/>
              </w:rPr>
              <w:t xml:space="preserve"> Saldanha Loyola</w:t>
            </w:r>
            <w:r>
              <w:rPr>
                <w:rFonts w:ascii="Arial" w:hAnsi="Arial" w:cs="Arial"/>
                <w:b/>
                <w:sz w:val="20"/>
                <w:szCs w:val="20"/>
                <w:lang w:val="pt-BR"/>
              </w:rPr>
              <w:br/>
            </w:r>
            <w:proofErr w:type="gramStart"/>
            <w:r>
              <w:rPr>
                <w:rFonts w:ascii="Arial" w:hAnsi="Arial" w:cs="Arial"/>
                <w:sz w:val="20"/>
                <w:szCs w:val="20"/>
                <w:lang w:val="pt-BR"/>
              </w:rPr>
              <w:t>(</w:t>
            </w:r>
            <w:proofErr w:type="gramEnd"/>
            <w:r>
              <w:rPr>
                <w:rFonts w:ascii="Arial" w:hAnsi="Arial" w:cs="Arial"/>
                <w:sz w:val="20"/>
                <w:szCs w:val="20"/>
                <w:lang w:val="pt-BR"/>
              </w:rPr>
              <w:t>Curitiba - PR)</w:t>
            </w:r>
          </w:p>
        </w:tc>
        <w:tc>
          <w:tcPr>
            <w:tcW w:w="851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1921</w:t>
            </w:r>
          </w:p>
        </w:tc>
        <w:tc>
          <w:tcPr>
            <w:tcW w:w="849" w:type="dxa"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1982</w:t>
            </w:r>
          </w:p>
        </w:tc>
      </w:tr>
      <w:tr w:rsidR="006F7260">
        <w:trPr>
          <w:jc w:val="center"/>
        </w:trPr>
        <w:tc>
          <w:tcPr>
            <w:tcW w:w="599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48º</w:t>
            </w:r>
          </w:p>
        </w:tc>
        <w:tc>
          <w:tcPr>
            <w:tcW w:w="718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1972</w:t>
            </w:r>
          </w:p>
        </w:tc>
        <w:tc>
          <w:tcPr>
            <w:tcW w:w="658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826FF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t>–</w:t>
            </w:r>
          </w:p>
        </w:tc>
        <w:tc>
          <w:tcPr>
            <w:tcW w:w="6095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Style w:val="LinkdaInternet"/>
                <w:rFonts w:ascii="Arial" w:hAnsi="Arial" w:cs="Arial"/>
                <w:color w:val="00000A"/>
                <w:sz w:val="20"/>
                <w:szCs w:val="20"/>
                <w:u w:val="none"/>
              </w:rPr>
              <w:t xml:space="preserve">Eddie Santos </w:t>
            </w:r>
            <w:proofErr w:type="spellStart"/>
            <w:r>
              <w:rPr>
                <w:rStyle w:val="LinkdaInternet"/>
                <w:rFonts w:ascii="Arial" w:hAnsi="Arial" w:cs="Arial"/>
                <w:color w:val="00000A"/>
                <w:sz w:val="20"/>
                <w:szCs w:val="20"/>
                <w:u w:val="none"/>
              </w:rPr>
              <w:t>Ribas</w:t>
            </w:r>
            <w:proofErr w:type="spellEnd"/>
          </w:p>
        </w:tc>
        <w:tc>
          <w:tcPr>
            <w:tcW w:w="851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1919</w:t>
            </w:r>
          </w:p>
        </w:tc>
        <w:tc>
          <w:tcPr>
            <w:tcW w:w="849" w:type="dxa"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1982</w:t>
            </w:r>
          </w:p>
        </w:tc>
      </w:tr>
      <w:tr w:rsidR="006F7260">
        <w:trPr>
          <w:jc w:val="center"/>
        </w:trPr>
        <w:tc>
          <w:tcPr>
            <w:tcW w:w="599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47º</w:t>
            </w:r>
          </w:p>
        </w:tc>
        <w:tc>
          <w:tcPr>
            <w:tcW w:w="718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1971</w:t>
            </w:r>
          </w:p>
        </w:tc>
        <w:tc>
          <w:tcPr>
            <w:tcW w:w="658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826FF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t>–</w:t>
            </w:r>
          </w:p>
        </w:tc>
        <w:tc>
          <w:tcPr>
            <w:tcW w:w="6095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Style w:val="LinkdaInternet"/>
                <w:rFonts w:ascii="Arial" w:hAnsi="Arial" w:cs="Arial"/>
                <w:color w:val="00000A"/>
                <w:sz w:val="20"/>
                <w:szCs w:val="20"/>
                <w:u w:val="none"/>
              </w:rPr>
              <w:t xml:space="preserve">Ivan </w:t>
            </w:r>
            <w:proofErr w:type="spellStart"/>
            <w:r>
              <w:rPr>
                <w:rStyle w:val="LinkdaInternet"/>
                <w:rFonts w:ascii="Arial" w:hAnsi="Arial" w:cs="Arial"/>
                <w:color w:val="00000A"/>
                <w:sz w:val="20"/>
                <w:szCs w:val="20"/>
                <w:u w:val="none"/>
              </w:rPr>
              <w:t>Ordine</w:t>
            </w:r>
            <w:proofErr w:type="spellEnd"/>
            <w:r>
              <w:rPr>
                <w:rStyle w:val="LinkdaInternet"/>
                <w:rFonts w:ascii="Arial" w:hAnsi="Arial" w:cs="Arial"/>
                <w:color w:val="00000A"/>
                <w:sz w:val="20"/>
                <w:szCs w:val="20"/>
                <w:u w:val="none"/>
              </w:rPr>
              <w:t xml:space="preserve"> </w:t>
            </w:r>
            <w:proofErr w:type="spellStart"/>
            <w:r>
              <w:rPr>
                <w:rStyle w:val="LinkdaInternet"/>
                <w:rFonts w:ascii="Arial" w:hAnsi="Arial" w:cs="Arial"/>
                <w:color w:val="00000A"/>
                <w:sz w:val="20"/>
                <w:szCs w:val="20"/>
                <w:u w:val="none"/>
              </w:rPr>
              <w:t>Righi</w:t>
            </w:r>
            <w:proofErr w:type="spellEnd"/>
            <w:hyperlink r:id="rId23">
              <w:r>
                <w:rPr>
                  <w:rStyle w:val="LinkdaInternet"/>
                  <w:rFonts w:ascii="Arial" w:hAnsi="Arial" w:cs="Arial"/>
                  <w:b/>
                  <w:bCs/>
                  <w:color w:val="00000A"/>
                  <w:sz w:val="20"/>
                  <w:szCs w:val="20"/>
                  <w:u w:val="none"/>
                </w:rPr>
                <w:br/>
              </w:r>
            </w:hyperlink>
            <w:r>
              <w:rPr>
                <w:rFonts w:ascii="Arial" w:hAnsi="Arial" w:cs="Arial"/>
                <w:sz w:val="20"/>
                <w:szCs w:val="20"/>
              </w:rPr>
              <w:t>(Curitiba - PR)</w:t>
            </w:r>
          </w:p>
        </w:tc>
        <w:tc>
          <w:tcPr>
            <w:tcW w:w="851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1939</w:t>
            </w:r>
          </w:p>
        </w:tc>
        <w:tc>
          <w:tcPr>
            <w:tcW w:w="849" w:type="dxa"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1991</w:t>
            </w:r>
          </w:p>
        </w:tc>
      </w:tr>
      <w:tr w:rsidR="006F7260">
        <w:trPr>
          <w:jc w:val="center"/>
        </w:trPr>
        <w:tc>
          <w:tcPr>
            <w:tcW w:w="599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46º</w:t>
            </w:r>
          </w:p>
        </w:tc>
        <w:tc>
          <w:tcPr>
            <w:tcW w:w="718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1966</w:t>
            </w:r>
          </w:p>
        </w:tc>
        <w:tc>
          <w:tcPr>
            <w:tcW w:w="658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1970</w:t>
            </w:r>
          </w:p>
        </w:tc>
        <w:tc>
          <w:tcPr>
            <w:tcW w:w="6095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Style w:val="LinkdaInternet"/>
                <w:rFonts w:ascii="Arial" w:hAnsi="Arial" w:cs="Arial"/>
                <w:color w:val="00000A"/>
                <w:sz w:val="20"/>
                <w:szCs w:val="20"/>
                <w:u w:val="none"/>
                <w:lang w:val="pt-BR"/>
              </w:rPr>
              <w:t>Ary Florêncio Guimarães</w:t>
            </w:r>
            <w:r>
              <w:rPr>
                <w:rFonts w:ascii="Arial" w:hAnsi="Arial" w:cs="Arial"/>
                <w:b/>
                <w:sz w:val="20"/>
                <w:szCs w:val="20"/>
                <w:lang w:val="pt-BR"/>
              </w:rPr>
              <w:br/>
            </w:r>
            <w:proofErr w:type="gramStart"/>
            <w:r>
              <w:rPr>
                <w:rFonts w:ascii="Arial" w:hAnsi="Arial" w:cs="Arial"/>
                <w:sz w:val="20"/>
                <w:szCs w:val="20"/>
                <w:lang w:val="pt-BR"/>
              </w:rPr>
              <w:t>(</w:t>
            </w:r>
            <w:proofErr w:type="gramEnd"/>
            <w:r>
              <w:rPr>
                <w:rFonts w:ascii="Arial" w:hAnsi="Arial" w:cs="Arial"/>
                <w:sz w:val="20"/>
                <w:szCs w:val="20"/>
                <w:lang w:val="pt-BR"/>
              </w:rPr>
              <w:t>Curitiba - PR)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br/>
              <w:t xml:space="preserve">2º - Posse como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Procurador-Geral de Justiça do Estado do Paraná</w:t>
            </w:r>
          </w:p>
        </w:tc>
        <w:tc>
          <w:tcPr>
            <w:tcW w:w="851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1915</w:t>
            </w:r>
          </w:p>
        </w:tc>
        <w:tc>
          <w:tcPr>
            <w:tcW w:w="849" w:type="dxa"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1988</w:t>
            </w:r>
          </w:p>
        </w:tc>
      </w:tr>
      <w:tr w:rsidR="006F7260">
        <w:trPr>
          <w:jc w:val="center"/>
        </w:trPr>
        <w:tc>
          <w:tcPr>
            <w:tcW w:w="599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45º</w:t>
            </w:r>
          </w:p>
        </w:tc>
        <w:tc>
          <w:tcPr>
            <w:tcW w:w="718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1964</w:t>
            </w:r>
          </w:p>
        </w:tc>
        <w:tc>
          <w:tcPr>
            <w:tcW w:w="658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1966</w:t>
            </w:r>
          </w:p>
        </w:tc>
        <w:tc>
          <w:tcPr>
            <w:tcW w:w="6095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Style w:val="LinkdaInternet"/>
                <w:rFonts w:ascii="Arial" w:hAnsi="Arial" w:cs="Arial"/>
                <w:color w:val="00000A"/>
                <w:sz w:val="20"/>
                <w:szCs w:val="20"/>
                <w:u w:val="none"/>
                <w:lang w:val="pt-BR"/>
              </w:rPr>
              <w:t>Alcides Munhoz Neto</w:t>
            </w:r>
            <w:r>
              <w:rPr>
                <w:rFonts w:ascii="Arial" w:hAnsi="Arial" w:cs="Arial"/>
                <w:b/>
                <w:sz w:val="20"/>
                <w:szCs w:val="20"/>
                <w:lang w:val="pt-BR"/>
              </w:rPr>
              <w:br/>
            </w:r>
            <w:proofErr w:type="gramStart"/>
            <w:r>
              <w:rPr>
                <w:rFonts w:ascii="Arial" w:hAnsi="Arial" w:cs="Arial"/>
                <w:sz w:val="20"/>
                <w:szCs w:val="20"/>
                <w:lang w:val="pt-BR"/>
              </w:rPr>
              <w:t>(</w:t>
            </w:r>
            <w:proofErr w:type="gramEnd"/>
            <w:r>
              <w:rPr>
                <w:rFonts w:ascii="Arial" w:hAnsi="Arial" w:cs="Arial"/>
                <w:sz w:val="20"/>
                <w:szCs w:val="20"/>
                <w:lang w:val="pt-BR"/>
              </w:rPr>
              <w:t>Curitiba - PR)</w:t>
            </w:r>
          </w:p>
        </w:tc>
        <w:tc>
          <w:tcPr>
            <w:tcW w:w="851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1930</w:t>
            </w:r>
          </w:p>
        </w:tc>
        <w:tc>
          <w:tcPr>
            <w:tcW w:w="849" w:type="dxa"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1983</w:t>
            </w:r>
          </w:p>
        </w:tc>
      </w:tr>
      <w:tr w:rsidR="006F7260">
        <w:trPr>
          <w:jc w:val="center"/>
        </w:trPr>
        <w:tc>
          <w:tcPr>
            <w:tcW w:w="599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44º</w:t>
            </w:r>
          </w:p>
        </w:tc>
        <w:tc>
          <w:tcPr>
            <w:tcW w:w="718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1964</w:t>
            </w:r>
          </w:p>
        </w:tc>
        <w:tc>
          <w:tcPr>
            <w:tcW w:w="658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826FF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t>–</w:t>
            </w:r>
          </w:p>
        </w:tc>
        <w:tc>
          <w:tcPr>
            <w:tcW w:w="6095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Style w:val="LinkdaInternet"/>
                <w:rFonts w:ascii="Arial" w:hAnsi="Arial" w:cs="Arial"/>
                <w:color w:val="00000A"/>
                <w:sz w:val="20"/>
                <w:szCs w:val="20"/>
                <w:u w:val="none"/>
                <w:lang w:val="pt-BR"/>
              </w:rPr>
              <w:t>Joaquim de Oliveira Sobrinho</w:t>
            </w:r>
            <w:hyperlink r:id="rId24">
              <w:r>
                <w:rPr>
                  <w:rStyle w:val="LinkdaInternet"/>
                  <w:rFonts w:ascii="Arial" w:hAnsi="Arial" w:cs="Arial"/>
                  <w:b/>
                  <w:bCs/>
                  <w:color w:val="00000A"/>
                  <w:sz w:val="20"/>
                  <w:szCs w:val="20"/>
                  <w:u w:val="none"/>
                  <w:lang w:val="pt-BR"/>
                </w:rPr>
                <w:br/>
              </w:r>
            </w:hyperlink>
            <w:r>
              <w:rPr>
                <w:rFonts w:ascii="Arial" w:hAnsi="Arial" w:cs="Arial"/>
                <w:sz w:val="20"/>
                <w:szCs w:val="20"/>
                <w:lang w:val="pt-BR"/>
              </w:rPr>
              <w:t>(Curitiba - PR)</w:t>
            </w:r>
          </w:p>
        </w:tc>
        <w:tc>
          <w:tcPr>
            <w:tcW w:w="851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1914</w:t>
            </w:r>
          </w:p>
        </w:tc>
        <w:tc>
          <w:tcPr>
            <w:tcW w:w="849" w:type="dxa"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1978</w:t>
            </w:r>
          </w:p>
        </w:tc>
      </w:tr>
      <w:tr w:rsidR="006F7260">
        <w:trPr>
          <w:jc w:val="center"/>
        </w:trPr>
        <w:tc>
          <w:tcPr>
            <w:tcW w:w="599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43º</w:t>
            </w:r>
          </w:p>
        </w:tc>
        <w:tc>
          <w:tcPr>
            <w:tcW w:w="718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1963</w:t>
            </w:r>
          </w:p>
        </w:tc>
        <w:tc>
          <w:tcPr>
            <w:tcW w:w="658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1963</w:t>
            </w:r>
          </w:p>
        </w:tc>
        <w:tc>
          <w:tcPr>
            <w:tcW w:w="6095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Style w:val="LinkdaInternet"/>
                <w:rFonts w:ascii="Arial" w:hAnsi="Arial" w:cs="Arial"/>
                <w:color w:val="00000A"/>
                <w:sz w:val="20"/>
                <w:szCs w:val="20"/>
                <w:u w:val="none"/>
                <w:lang w:val="pt-BR"/>
              </w:rPr>
              <w:t>Ruy Ferraz de Carvalho</w:t>
            </w:r>
            <w:r>
              <w:rPr>
                <w:rFonts w:ascii="Arial" w:hAnsi="Arial" w:cs="Arial"/>
                <w:b/>
                <w:sz w:val="20"/>
                <w:szCs w:val="20"/>
                <w:lang w:val="pt-BR"/>
              </w:rPr>
              <w:br/>
            </w:r>
            <w:proofErr w:type="gramStart"/>
            <w:r>
              <w:rPr>
                <w:rFonts w:ascii="Arial" w:hAnsi="Arial" w:cs="Arial"/>
                <w:sz w:val="20"/>
                <w:szCs w:val="20"/>
                <w:lang w:val="pt-BR"/>
              </w:rPr>
              <w:t>(</w:t>
            </w:r>
            <w:proofErr w:type="gramEnd"/>
            <w:r>
              <w:rPr>
                <w:rFonts w:ascii="Arial" w:hAnsi="Arial" w:cs="Arial"/>
                <w:sz w:val="20"/>
                <w:szCs w:val="20"/>
                <w:lang w:val="pt-BR"/>
              </w:rPr>
              <w:t>São João Nepomuceno - MG)</w:t>
            </w:r>
          </w:p>
        </w:tc>
        <w:tc>
          <w:tcPr>
            <w:tcW w:w="851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1915</w:t>
            </w:r>
          </w:p>
        </w:tc>
        <w:tc>
          <w:tcPr>
            <w:tcW w:w="849" w:type="dxa"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7" w:type="dxa"/>
            </w:tcMar>
            <w:vAlign w:val="center"/>
          </w:tcPr>
          <w:p w:rsidR="006F7260" w:rsidRDefault="00C31C0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1990</w:t>
            </w:r>
          </w:p>
        </w:tc>
      </w:tr>
    </w:tbl>
    <w:p w:rsidR="006F7260" w:rsidRDefault="006F7260">
      <w:pPr>
        <w:pStyle w:val="Estilopadro"/>
        <w:jc w:val="both"/>
      </w:pPr>
    </w:p>
    <w:p w:rsidR="006F7260" w:rsidRDefault="00C31C0A">
      <w:pPr>
        <w:pStyle w:val="Estilopadro"/>
        <w:jc w:val="both"/>
      </w:pPr>
      <w:r>
        <w:rPr>
          <w:rFonts w:ascii="Arial" w:hAnsi="Arial" w:cs="Arial"/>
          <w:b/>
          <w:bCs/>
          <w:sz w:val="20"/>
          <w:szCs w:val="20"/>
        </w:rPr>
        <w:t>Fonte: Memorial do Ministério Público do Paraná</w:t>
      </w:r>
    </w:p>
    <w:p w:rsidR="006F7260" w:rsidRDefault="006F7260">
      <w:pPr>
        <w:pStyle w:val="Estilopadro"/>
      </w:pPr>
    </w:p>
    <w:sectPr w:rsidR="006F7260">
      <w:pgSz w:w="11906" w:h="16838"/>
      <w:pgMar w:top="851" w:right="851" w:bottom="1134" w:left="851" w:header="0" w:footer="283" w:gutter="0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C31C0A">
      <w:pPr>
        <w:spacing w:after="0" w:line="240" w:lineRule="auto"/>
      </w:pPr>
      <w:r>
        <w:separator/>
      </w:r>
    </w:p>
  </w:endnote>
  <w:endnote w:type="continuationSeparator" w:id="0">
    <w:p w:rsidR="00000000" w:rsidRDefault="00C31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enQuanYi Micro Hei">
    <w:panose1 w:val="00000000000000000000"/>
    <w:charset w:val="00"/>
    <w:family w:val="roman"/>
    <w:notTrueType/>
    <w:pitch w:val="default"/>
  </w:font>
  <w:font w:name="Lohit Hindi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7260" w:rsidRDefault="00C31C0A">
      <w:r>
        <w:separator/>
      </w:r>
    </w:p>
  </w:footnote>
  <w:footnote w:type="continuationSeparator" w:id="0">
    <w:p w:rsidR="006F7260" w:rsidRDefault="00C31C0A">
      <w:r>
        <w:continuationSeparator/>
      </w:r>
    </w:p>
  </w:footnote>
  <w:footnote w:id="1">
    <w:p w:rsidR="006F7260" w:rsidRDefault="00C31C0A">
      <w:pPr>
        <w:pStyle w:val="Estilopadro"/>
        <w:jc w:val="both"/>
      </w:pPr>
      <w:r>
        <w:rPr>
          <w:rStyle w:val="Refdenotaderodap"/>
          <w:rFonts w:ascii="Arial" w:hAnsi="Arial" w:cs="Arial"/>
          <w:sz w:val="18"/>
        </w:rPr>
        <w:footnoteRef/>
      </w:r>
      <w:r w:rsidR="00826FFA">
        <w:rPr>
          <w:rStyle w:val="Refdenotaderodap"/>
          <w:rFonts w:ascii="Arial" w:hAnsi="Arial" w:cs="Arial"/>
          <w:sz w:val="18"/>
        </w:rPr>
        <w:t xml:space="preserve"> </w:t>
      </w:r>
      <w:r>
        <w:rPr>
          <w:rStyle w:val="WW-Caracteresdenotaderodap"/>
          <w:rFonts w:ascii="Arial" w:eastAsia="Arial" w:hAnsi="Arial" w:cs="Arial"/>
          <w:sz w:val="16"/>
          <w:szCs w:val="16"/>
        </w:rPr>
        <w:t>Disponível em: http://www.cnmp.mp.br/portal/component/content/article/94-institucional/ministerio-publico/128-a-historia-do-ministerio-publi</w:t>
      </w:r>
      <w:r>
        <w:rPr>
          <w:rStyle w:val="WW-Caracteresdenotaderodap"/>
          <w:rFonts w:ascii="Arial" w:eastAsia="Arial" w:hAnsi="Arial" w:cs="Arial"/>
          <w:sz w:val="16"/>
          <w:szCs w:val="16"/>
        </w:rPr>
        <w:t>co-no-brasil. Acesso em 07/03/2014.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91236"/>
    <w:multiLevelType w:val="multilevel"/>
    <w:tmpl w:val="B77A379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3406A6A"/>
    <w:multiLevelType w:val="multilevel"/>
    <w:tmpl w:val="7D6045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  <w:sz w:val="20"/>
      </w:rPr>
    </w:lvl>
  </w:abstractNum>
  <w:abstractNum w:abstractNumId="2">
    <w:nsid w:val="0BFB3D29"/>
    <w:multiLevelType w:val="multilevel"/>
    <w:tmpl w:val="24FAE04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  <w:sz w:val="20"/>
      </w:rPr>
    </w:lvl>
  </w:abstractNum>
  <w:abstractNum w:abstractNumId="3">
    <w:nsid w:val="12323C83"/>
    <w:multiLevelType w:val="multilevel"/>
    <w:tmpl w:val="58369040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>
    <w:nsid w:val="15482748"/>
    <w:multiLevelType w:val="multilevel"/>
    <w:tmpl w:val="79F40FD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  <w:sz w:val="20"/>
      </w:rPr>
    </w:lvl>
  </w:abstractNum>
  <w:abstractNum w:abstractNumId="5">
    <w:nsid w:val="4B373038"/>
    <w:multiLevelType w:val="multilevel"/>
    <w:tmpl w:val="4468C9D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  <w:sz w:val="20"/>
      </w:rPr>
    </w:lvl>
  </w:abstractNum>
  <w:abstractNum w:abstractNumId="6">
    <w:nsid w:val="5A215D79"/>
    <w:multiLevelType w:val="multilevel"/>
    <w:tmpl w:val="527612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  <w:sz w:val="20"/>
      </w:rPr>
    </w:lvl>
  </w:abstractNum>
  <w:abstractNum w:abstractNumId="7">
    <w:nsid w:val="6BD92A85"/>
    <w:multiLevelType w:val="multilevel"/>
    <w:tmpl w:val="ED3C9F4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</w:abstractNum>
  <w:abstractNum w:abstractNumId="8">
    <w:nsid w:val="6C6E0CBA"/>
    <w:multiLevelType w:val="multilevel"/>
    <w:tmpl w:val="BCB289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5"/>
  </w:num>
  <w:num w:numId="5">
    <w:abstractNumId w:val="4"/>
  </w:num>
  <w:num w:numId="6">
    <w:abstractNumId w:val="2"/>
  </w:num>
  <w:num w:numId="7">
    <w:abstractNumId w:val="8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F7260"/>
    <w:rsid w:val="002E32DE"/>
    <w:rsid w:val="00567BFB"/>
    <w:rsid w:val="006F7260"/>
    <w:rsid w:val="00826FFA"/>
    <w:rsid w:val="00C31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Estilopadro">
    <w:name w:val="Estilo padrão"/>
    <w:pPr>
      <w:suppressAutoHyphens/>
      <w:textAlignment w:val="baseline"/>
    </w:pPr>
    <w:rPr>
      <w:rFonts w:ascii="Times New Roman" w:eastAsia="WenQuanYi Micro Hei" w:hAnsi="Times New Roman" w:cs="Lohit Hindi"/>
      <w:sz w:val="24"/>
      <w:szCs w:val="24"/>
      <w:lang w:eastAsia="zh-CN" w:bidi="hi-IN"/>
    </w:rPr>
  </w:style>
  <w:style w:type="character" w:customStyle="1" w:styleId="WW8Num43z0">
    <w:name w:val="WW8Num43z0"/>
    <w:rPr>
      <w:rFonts w:ascii="Symbol" w:hAnsi="Symbol" w:cs="Symbol"/>
    </w:rPr>
  </w:style>
  <w:style w:type="character" w:customStyle="1" w:styleId="WW8Num43z1">
    <w:name w:val="WW8Num43z1"/>
    <w:rPr>
      <w:rFonts w:ascii="Courier New" w:hAnsi="Courier New" w:cs="Courier New"/>
    </w:rPr>
  </w:style>
  <w:style w:type="character" w:customStyle="1" w:styleId="WW8Num43z2">
    <w:name w:val="WW8Num43z2"/>
    <w:rPr>
      <w:rFonts w:ascii="Wingdings" w:hAnsi="Wingdings" w:cs="Wingdings"/>
    </w:rPr>
  </w:style>
  <w:style w:type="character" w:customStyle="1" w:styleId="WW8Num44z0">
    <w:name w:val="WW8Num44z0"/>
    <w:rPr>
      <w:b/>
    </w:rPr>
  </w:style>
  <w:style w:type="character" w:customStyle="1" w:styleId="WW8Num44z1">
    <w:name w:val="WW8Num44z1"/>
    <w:rPr>
      <w:rFonts w:ascii="Courier New" w:hAnsi="Courier New" w:cs="Courier New"/>
      <w:sz w:val="20"/>
    </w:rPr>
  </w:style>
  <w:style w:type="character" w:customStyle="1" w:styleId="WW8Num44z2">
    <w:name w:val="WW8Num44z2"/>
    <w:rPr>
      <w:rFonts w:ascii="Wingdings" w:hAnsi="Wingdings" w:cs="Wingdings"/>
      <w:sz w:val="20"/>
    </w:rPr>
  </w:style>
  <w:style w:type="character" w:customStyle="1" w:styleId="WW8Num45z0">
    <w:name w:val="WW8Num45z0"/>
    <w:rPr>
      <w:b/>
    </w:rPr>
  </w:style>
  <w:style w:type="character" w:customStyle="1" w:styleId="WW8Num45z1">
    <w:name w:val="WW8Num45z1"/>
    <w:rPr>
      <w:rFonts w:ascii="Courier New" w:hAnsi="Courier New" w:cs="Courier New"/>
      <w:sz w:val="20"/>
    </w:rPr>
  </w:style>
  <w:style w:type="character" w:customStyle="1" w:styleId="WW8Num45z2">
    <w:name w:val="WW8Num45z2"/>
    <w:rPr>
      <w:rFonts w:ascii="Wingdings" w:hAnsi="Wingdings" w:cs="Wingdings"/>
      <w:sz w:val="20"/>
    </w:rPr>
  </w:style>
  <w:style w:type="character" w:customStyle="1" w:styleId="WW8Num46z0">
    <w:name w:val="WW8Num46z0"/>
    <w:rPr>
      <w:rFonts w:ascii="Symbol" w:hAnsi="Symbol" w:cs="Symbol"/>
      <w:sz w:val="20"/>
    </w:rPr>
  </w:style>
  <w:style w:type="character" w:customStyle="1" w:styleId="WW8Num46z1">
    <w:name w:val="WW8Num46z1"/>
    <w:rPr>
      <w:rFonts w:ascii="Courier New" w:hAnsi="Courier New" w:cs="Courier New"/>
      <w:sz w:val="20"/>
    </w:rPr>
  </w:style>
  <w:style w:type="character" w:customStyle="1" w:styleId="WW8Num46z2">
    <w:name w:val="WW8Num46z2"/>
    <w:rPr>
      <w:rFonts w:ascii="Wingdings" w:hAnsi="Wingdings" w:cs="Wingdings"/>
      <w:sz w:val="20"/>
    </w:rPr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WW-Caracteresdenotaderodap">
    <w:name w:val="WW-Caracteres de nota de rodapé"/>
    <w:rPr>
      <w:position w:val="0"/>
      <w:sz w:val="24"/>
      <w:vertAlign w:val="baseline"/>
    </w:rPr>
  </w:style>
  <w:style w:type="character" w:customStyle="1" w:styleId="nfaseforte">
    <w:name w:val="Ênfase forte"/>
    <w:rPr>
      <w:b/>
      <w:bCs/>
    </w:rPr>
  </w:style>
  <w:style w:type="character" w:customStyle="1" w:styleId="LinkdaInternet">
    <w:name w:val="Link da Internet"/>
    <w:rPr>
      <w:color w:val="000080"/>
      <w:u w:val="single"/>
    </w:rPr>
  </w:style>
  <w:style w:type="character" w:styleId="Refdenotaderodap">
    <w:name w:val="footnote reference"/>
    <w:basedOn w:val="Fontepargpadro"/>
    <w:rPr>
      <w:vertAlign w:val="superscript"/>
    </w:rPr>
  </w:style>
  <w:style w:type="character" w:customStyle="1" w:styleId="TextodebaloChar">
    <w:name w:val="Texto de balão Char"/>
    <w:basedOn w:val="Fontepargpadro"/>
    <w:rPr>
      <w:rFonts w:ascii="Tahoma" w:hAnsi="Tahoma" w:cs="Mangal"/>
      <w:sz w:val="16"/>
      <w:szCs w:val="14"/>
    </w:rPr>
  </w:style>
  <w:style w:type="character" w:customStyle="1" w:styleId="CabealhoChar">
    <w:name w:val="Cabeçalho Char"/>
    <w:basedOn w:val="Fontepargpadro"/>
    <w:rPr>
      <w:rFonts w:cs="Mangal"/>
      <w:sz w:val="21"/>
      <w:szCs w:val="21"/>
    </w:rPr>
  </w:style>
  <w:style w:type="character" w:customStyle="1" w:styleId="RodapChar">
    <w:name w:val="Rodapé Char"/>
    <w:basedOn w:val="Fontepargpadro"/>
    <w:rPr>
      <w:rFonts w:cs="Mangal"/>
      <w:sz w:val="21"/>
      <w:szCs w:val="21"/>
    </w:rPr>
  </w:style>
  <w:style w:type="character" w:customStyle="1" w:styleId="ListLabel1">
    <w:name w:val="ListLabel 1"/>
    <w:rPr>
      <w:rFonts w:cs="Symbol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Wingdings"/>
    </w:rPr>
  </w:style>
  <w:style w:type="character" w:customStyle="1" w:styleId="ListLabel4">
    <w:name w:val="ListLabel 4"/>
    <w:rPr>
      <w:b/>
    </w:rPr>
  </w:style>
  <w:style w:type="character" w:customStyle="1" w:styleId="ListLabel5">
    <w:name w:val="ListLabel 5"/>
    <w:rPr>
      <w:rFonts w:cs="Courier New"/>
      <w:sz w:val="20"/>
    </w:rPr>
  </w:style>
  <w:style w:type="character" w:customStyle="1" w:styleId="ListLabel6">
    <w:name w:val="ListLabel 6"/>
    <w:rPr>
      <w:rFonts w:cs="Wingdings"/>
      <w:sz w:val="20"/>
    </w:rPr>
  </w:style>
  <w:style w:type="character" w:customStyle="1" w:styleId="ListLabel7">
    <w:name w:val="ListLabel 7"/>
    <w:rPr>
      <w:rFonts w:cs="Symbol"/>
      <w:sz w:val="20"/>
    </w:rPr>
  </w:style>
  <w:style w:type="character" w:customStyle="1" w:styleId="ListLabel8">
    <w:name w:val="ListLabel 8"/>
    <w:rPr>
      <w:sz w:val="24"/>
    </w:rPr>
  </w:style>
  <w:style w:type="character" w:customStyle="1" w:styleId="Caracteresdenotaderodap">
    <w:name w:val="Caracteres de nota de rodapé"/>
  </w:style>
  <w:style w:type="character" w:customStyle="1" w:styleId="ncoradanotadefim">
    <w:name w:val="Âncora da nota de fim"/>
    <w:rPr>
      <w:vertAlign w:val="superscript"/>
    </w:rPr>
  </w:style>
  <w:style w:type="character" w:customStyle="1" w:styleId="Caracteresdenotadefim">
    <w:name w:val="Caracteres de nota de fim"/>
  </w:style>
  <w:style w:type="paragraph" w:styleId="Ttulo">
    <w:name w:val="Title"/>
    <w:basedOn w:val="Estilopadro"/>
    <w:next w:val="Corpodo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Corpodotexto">
    <w:name w:val="Corpo do texto"/>
    <w:basedOn w:val="Estilopadro"/>
    <w:pPr>
      <w:spacing w:after="120"/>
    </w:pPr>
  </w:style>
  <w:style w:type="paragraph" w:styleId="Lista">
    <w:name w:val="List"/>
    <w:basedOn w:val="Corpodotexto"/>
    <w:rPr>
      <w:rFonts w:cs="Mangal"/>
    </w:rPr>
  </w:style>
  <w:style w:type="paragraph" w:styleId="Legenda">
    <w:name w:val="caption"/>
    <w:basedOn w:val="Estilopadro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Estilopadro"/>
    <w:pPr>
      <w:suppressLineNumbers/>
    </w:pPr>
    <w:rPr>
      <w:rFonts w:cs="Mangal"/>
    </w:rPr>
  </w:style>
  <w:style w:type="paragraph" w:customStyle="1" w:styleId="artigo">
    <w:name w:val="artigo"/>
    <w:basedOn w:val="Estilopadro"/>
    <w:pPr>
      <w:suppressAutoHyphens w:val="0"/>
      <w:spacing w:before="28" w:after="28"/>
    </w:pPr>
    <w:rPr>
      <w:lang w:eastAsia="pt-BR"/>
    </w:rPr>
  </w:style>
  <w:style w:type="paragraph" w:customStyle="1" w:styleId="Notaderodap">
    <w:name w:val="Nota de rodapé"/>
    <w:basedOn w:val="Estilopadro"/>
    <w:pPr>
      <w:suppressLineNumbers/>
      <w:ind w:left="339" w:hanging="339"/>
    </w:pPr>
    <w:rPr>
      <w:sz w:val="20"/>
      <w:szCs w:val="20"/>
    </w:rPr>
  </w:style>
  <w:style w:type="paragraph" w:styleId="NormalWeb">
    <w:name w:val="Normal (Web)"/>
    <w:basedOn w:val="Estilopadro"/>
    <w:pPr>
      <w:pBdr>
        <w:top w:val="single" w:sz="6" w:space="0" w:color="000001"/>
        <w:left w:val="single" w:sz="6" w:space="0" w:color="000001"/>
        <w:bottom w:val="single" w:sz="6" w:space="0" w:color="000001"/>
        <w:right w:val="single" w:sz="6" w:space="0" w:color="000001"/>
      </w:pBdr>
      <w:suppressAutoHyphens w:val="0"/>
    </w:pPr>
    <w:rPr>
      <w:rFonts w:eastAsia="Arial Unicode MS"/>
      <w:lang w:val="en-US"/>
    </w:rPr>
  </w:style>
  <w:style w:type="paragraph" w:customStyle="1" w:styleId="Contedodatabela">
    <w:name w:val="Conteúdo da tabela"/>
    <w:basedOn w:val="Estilopadro"/>
    <w:pPr>
      <w:suppressLineNumbers/>
    </w:pPr>
  </w:style>
  <w:style w:type="paragraph" w:styleId="Textodebalo">
    <w:name w:val="Balloon Text"/>
    <w:basedOn w:val="Estilopadro"/>
    <w:rPr>
      <w:rFonts w:ascii="Tahoma" w:hAnsi="Tahoma" w:cs="Mangal"/>
      <w:sz w:val="16"/>
      <w:szCs w:val="14"/>
    </w:rPr>
  </w:style>
  <w:style w:type="paragraph" w:styleId="PargrafodaLista">
    <w:name w:val="List Paragraph"/>
    <w:basedOn w:val="Estilopadro"/>
    <w:pPr>
      <w:spacing w:after="0"/>
      <w:ind w:left="720"/>
      <w:contextualSpacing/>
    </w:pPr>
    <w:rPr>
      <w:rFonts w:cs="Mangal"/>
      <w:sz w:val="21"/>
      <w:szCs w:val="21"/>
    </w:rPr>
  </w:style>
  <w:style w:type="paragraph" w:styleId="Cabealho">
    <w:name w:val="header"/>
    <w:basedOn w:val="Estilopadro"/>
    <w:pPr>
      <w:tabs>
        <w:tab w:val="center" w:pos="4252"/>
        <w:tab w:val="right" w:pos="8504"/>
      </w:tabs>
    </w:pPr>
    <w:rPr>
      <w:rFonts w:cs="Mangal"/>
      <w:sz w:val="21"/>
      <w:szCs w:val="21"/>
    </w:rPr>
  </w:style>
  <w:style w:type="paragraph" w:styleId="Rodap">
    <w:name w:val="footer"/>
    <w:basedOn w:val="Estilopadro"/>
    <w:pPr>
      <w:tabs>
        <w:tab w:val="center" w:pos="4252"/>
        <w:tab w:val="right" w:pos="8504"/>
      </w:tabs>
    </w:pPr>
    <w:rPr>
      <w:rFonts w:cs="Mangal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wmf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image" Target="media/image13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hyperlink" Target="http://www.memorial.mppr.mp.br/modules/conteudo/conteudo.php?conteudo=6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hyperlink" Target="http://www.memorial.mppr.mp.br/modules/conteudo/conteudo.php?conteudo=57" TargetMode="External"/><Relationship Id="rId10" Type="http://schemas.openxmlformats.org/officeDocument/2006/relationships/image" Target="media/image3.wmf"/><Relationship Id="rId19" Type="http://schemas.openxmlformats.org/officeDocument/2006/relationships/image" Target="media/image12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wmf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18</Pages>
  <Words>1135</Words>
  <Characters>6131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Carolina Gomes</dc:creator>
  <cp:lastModifiedBy>Hamilton</cp:lastModifiedBy>
  <cp:revision>3</cp:revision>
  <cp:lastPrinted>2014-11-12T16:07:00Z</cp:lastPrinted>
  <dcterms:created xsi:type="dcterms:W3CDTF">2017-05-22T15:06:00Z</dcterms:created>
  <dcterms:modified xsi:type="dcterms:W3CDTF">2017-05-22T15:12:00Z</dcterms:modified>
</cp:coreProperties>
</file>